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30" w:rsidRPr="00D14A3D" w:rsidRDefault="00C55F30" w:rsidP="00D16030">
      <w:pPr>
        <w:pStyle w:val="NormalWeb"/>
        <w:shd w:val="clear" w:color="auto" w:fill="FFFFFF"/>
        <w:jc w:val="center"/>
        <w:rPr>
          <w:rStyle w:val="Gl"/>
          <w:rFonts w:ascii="Tahoma" w:hAnsi="Tahoma" w:cs="Tahoma"/>
        </w:rPr>
      </w:pPr>
    </w:p>
    <w:p w:rsidR="00F40812" w:rsidRPr="00D14A3D" w:rsidRDefault="00F40812" w:rsidP="00D14A3D">
      <w:pPr>
        <w:pStyle w:val="NormalWeb"/>
        <w:shd w:val="clear" w:color="auto" w:fill="FFFFFF"/>
        <w:rPr>
          <w:rStyle w:val="Gl"/>
          <w:rFonts w:ascii="Tahoma" w:hAnsi="Tahoma" w:cs="Tahoma"/>
          <w:color w:val="808080" w:themeColor="background1" w:themeShade="80"/>
        </w:rPr>
      </w:pPr>
      <w:proofErr w:type="spellStart"/>
      <w:r w:rsidRPr="00D14A3D">
        <w:rPr>
          <w:rStyle w:val="Gl"/>
          <w:rFonts w:ascii="Tahoma" w:hAnsi="Tahoma" w:cs="Tahoma"/>
          <w:color w:val="808080" w:themeColor="background1" w:themeShade="80"/>
        </w:rPr>
        <w:t>Press</w:t>
      </w:r>
      <w:proofErr w:type="spellEnd"/>
      <w:r w:rsidRPr="00D14A3D">
        <w:rPr>
          <w:rStyle w:val="Gl"/>
          <w:rFonts w:ascii="Tahoma" w:hAnsi="Tahoma" w:cs="Tahoma"/>
          <w:color w:val="808080" w:themeColor="background1" w:themeShade="80"/>
        </w:rPr>
        <w:t xml:space="preserve"> </w:t>
      </w:r>
      <w:proofErr w:type="spellStart"/>
      <w:r w:rsidRPr="00D14A3D">
        <w:rPr>
          <w:rStyle w:val="Gl"/>
          <w:rFonts w:ascii="Tahoma" w:hAnsi="Tahoma" w:cs="Tahoma"/>
          <w:color w:val="808080" w:themeColor="background1" w:themeShade="80"/>
        </w:rPr>
        <w:t>Release</w:t>
      </w:r>
      <w:proofErr w:type="spellEnd"/>
      <w:r w:rsidRPr="00D14A3D">
        <w:rPr>
          <w:rStyle w:val="Gl"/>
          <w:rFonts w:ascii="Tahoma" w:hAnsi="Tahoma" w:cs="Tahoma"/>
          <w:color w:val="808080" w:themeColor="background1" w:themeShade="80"/>
        </w:rPr>
        <w:t xml:space="preserve">    </w:t>
      </w:r>
      <w:r w:rsidRPr="00D14A3D">
        <w:rPr>
          <w:rStyle w:val="Gl"/>
          <w:rFonts w:ascii="Tahoma" w:hAnsi="Tahoma" w:cs="Tahoma"/>
          <w:color w:val="808080" w:themeColor="background1" w:themeShade="80"/>
        </w:rPr>
        <w:tab/>
      </w:r>
      <w:r w:rsidRPr="00D14A3D">
        <w:rPr>
          <w:rStyle w:val="Gl"/>
          <w:rFonts w:ascii="Tahoma" w:hAnsi="Tahoma" w:cs="Tahoma"/>
          <w:color w:val="808080" w:themeColor="background1" w:themeShade="80"/>
        </w:rPr>
        <w:tab/>
      </w:r>
      <w:r w:rsidRPr="00D14A3D">
        <w:rPr>
          <w:rStyle w:val="Gl"/>
          <w:rFonts w:ascii="Tahoma" w:hAnsi="Tahoma" w:cs="Tahoma"/>
          <w:color w:val="808080" w:themeColor="background1" w:themeShade="80"/>
        </w:rPr>
        <w:tab/>
      </w:r>
      <w:r w:rsidRPr="00D14A3D">
        <w:rPr>
          <w:rStyle w:val="Gl"/>
          <w:rFonts w:ascii="Tahoma" w:hAnsi="Tahoma" w:cs="Tahoma"/>
          <w:color w:val="808080" w:themeColor="background1" w:themeShade="80"/>
        </w:rPr>
        <w:tab/>
      </w:r>
      <w:r w:rsidRPr="00D14A3D">
        <w:rPr>
          <w:rStyle w:val="Gl"/>
          <w:rFonts w:ascii="Tahoma" w:hAnsi="Tahoma" w:cs="Tahoma"/>
          <w:color w:val="808080" w:themeColor="background1" w:themeShade="80"/>
        </w:rPr>
        <w:tab/>
        <w:t xml:space="preserve">     </w:t>
      </w:r>
      <w:r w:rsidR="00D14A3D">
        <w:rPr>
          <w:rStyle w:val="Gl"/>
          <w:rFonts w:ascii="Tahoma" w:hAnsi="Tahoma" w:cs="Tahoma"/>
          <w:color w:val="808080" w:themeColor="background1" w:themeShade="80"/>
        </w:rPr>
        <w:tab/>
      </w:r>
      <w:r w:rsidR="00D14A3D">
        <w:rPr>
          <w:rStyle w:val="Gl"/>
          <w:rFonts w:ascii="Tahoma" w:hAnsi="Tahoma" w:cs="Tahoma"/>
          <w:color w:val="808080" w:themeColor="background1" w:themeShade="80"/>
        </w:rPr>
        <w:tab/>
      </w:r>
      <w:proofErr w:type="spellStart"/>
      <w:r w:rsidRPr="00D14A3D">
        <w:rPr>
          <w:rStyle w:val="Gl"/>
          <w:rFonts w:ascii="Tahoma" w:hAnsi="Tahoma" w:cs="Tahoma"/>
          <w:color w:val="808080" w:themeColor="background1" w:themeShade="80"/>
        </w:rPr>
        <w:t>For</w:t>
      </w:r>
      <w:proofErr w:type="spellEnd"/>
      <w:r w:rsidRPr="00D14A3D">
        <w:rPr>
          <w:rStyle w:val="Gl"/>
          <w:rFonts w:ascii="Tahoma" w:hAnsi="Tahoma" w:cs="Tahoma"/>
          <w:color w:val="808080" w:themeColor="background1" w:themeShade="80"/>
        </w:rPr>
        <w:t xml:space="preserve"> </w:t>
      </w:r>
      <w:proofErr w:type="spellStart"/>
      <w:r w:rsidRPr="00D14A3D">
        <w:rPr>
          <w:rStyle w:val="Gl"/>
          <w:rFonts w:ascii="Tahoma" w:hAnsi="Tahoma" w:cs="Tahoma"/>
          <w:color w:val="808080" w:themeColor="background1" w:themeShade="80"/>
        </w:rPr>
        <w:t>Immediate</w:t>
      </w:r>
      <w:proofErr w:type="spellEnd"/>
      <w:r w:rsidRPr="00D14A3D">
        <w:rPr>
          <w:rStyle w:val="Gl"/>
          <w:rFonts w:ascii="Tahoma" w:hAnsi="Tahoma" w:cs="Tahoma"/>
          <w:color w:val="808080" w:themeColor="background1" w:themeShade="80"/>
        </w:rPr>
        <w:t xml:space="preserve"> </w:t>
      </w:r>
      <w:proofErr w:type="spellStart"/>
      <w:r w:rsidRPr="00D14A3D">
        <w:rPr>
          <w:rStyle w:val="Gl"/>
          <w:rFonts w:ascii="Tahoma" w:hAnsi="Tahoma" w:cs="Tahoma"/>
          <w:color w:val="808080" w:themeColor="background1" w:themeShade="80"/>
        </w:rPr>
        <w:t>Release</w:t>
      </w:r>
      <w:proofErr w:type="spellEnd"/>
    </w:p>
    <w:p w:rsidR="00697E72" w:rsidRDefault="00697E72" w:rsidP="00D05AFD">
      <w:pPr>
        <w:pStyle w:val="NormalWeb"/>
        <w:shd w:val="clear" w:color="auto" w:fill="FFFFFF"/>
        <w:rPr>
          <w:rStyle w:val="Gl"/>
          <w:rFonts w:ascii="Tahoma" w:hAnsi="Tahoma" w:cs="Tahoma"/>
          <w:color w:val="808080" w:themeColor="background1" w:themeShade="80"/>
        </w:rPr>
      </w:pPr>
      <w:r w:rsidRPr="00D14A3D">
        <w:rPr>
          <w:rStyle w:val="Gl"/>
          <w:rFonts w:ascii="Tahoma" w:hAnsi="Tahoma" w:cs="Tahoma"/>
          <w:color w:val="808080" w:themeColor="background1" w:themeShade="80"/>
        </w:rPr>
        <w:t xml:space="preserve">Istanbul, </w:t>
      </w:r>
      <w:r w:rsidR="00D14A3D" w:rsidRPr="00D14A3D">
        <w:rPr>
          <w:rStyle w:val="Gl"/>
          <w:rFonts w:ascii="Tahoma" w:hAnsi="Tahoma" w:cs="Tahoma"/>
          <w:color w:val="808080" w:themeColor="background1" w:themeShade="80"/>
        </w:rPr>
        <w:t>03</w:t>
      </w:r>
      <w:r w:rsidRPr="00D14A3D">
        <w:rPr>
          <w:rStyle w:val="Gl"/>
          <w:rFonts w:ascii="Tahoma" w:hAnsi="Tahoma" w:cs="Tahoma"/>
          <w:color w:val="808080" w:themeColor="background1" w:themeShade="80"/>
        </w:rPr>
        <w:t xml:space="preserve"> Ma</w:t>
      </w:r>
      <w:r w:rsidR="00D14A3D" w:rsidRPr="00D14A3D">
        <w:rPr>
          <w:rStyle w:val="Gl"/>
          <w:rFonts w:ascii="Tahoma" w:hAnsi="Tahoma" w:cs="Tahoma"/>
          <w:color w:val="808080" w:themeColor="background1" w:themeShade="80"/>
        </w:rPr>
        <w:t>y</w:t>
      </w:r>
      <w:r w:rsidRPr="00D14A3D">
        <w:rPr>
          <w:rStyle w:val="Gl"/>
          <w:rFonts w:ascii="Tahoma" w:hAnsi="Tahoma" w:cs="Tahoma"/>
          <w:color w:val="808080" w:themeColor="background1" w:themeShade="80"/>
        </w:rPr>
        <w:t xml:space="preserve"> 2021</w:t>
      </w:r>
    </w:p>
    <w:p w:rsidR="00D05AFD" w:rsidRPr="00D14A3D" w:rsidRDefault="00D05AFD" w:rsidP="00D05AFD">
      <w:pPr>
        <w:pStyle w:val="NormalWeb"/>
        <w:shd w:val="clear" w:color="auto" w:fill="FFFFFF"/>
        <w:rPr>
          <w:rStyle w:val="Gl"/>
          <w:rFonts w:ascii="Tahoma" w:hAnsi="Tahoma" w:cs="Tahoma"/>
        </w:rPr>
      </w:pPr>
    </w:p>
    <w:p w:rsidR="00D14A3D" w:rsidRPr="00D14A3D" w:rsidRDefault="00D14A3D" w:rsidP="00D05AF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Boycott</w:t>
      </w:r>
      <w:proofErr w:type="spellEnd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of </w:t>
      </w:r>
      <w:proofErr w:type="spellStart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virgin</w:t>
      </w:r>
      <w:proofErr w:type="spellEnd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resin</w:t>
      </w:r>
      <w:proofErr w:type="spellEnd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leads</w:t>
      </w:r>
      <w:proofErr w:type="spellEnd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to</w:t>
      </w:r>
      <w:proofErr w:type="spellEnd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lower</w:t>
      </w:r>
      <w:proofErr w:type="spellEnd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prices</w:t>
      </w:r>
      <w:proofErr w:type="spellEnd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for</w:t>
      </w:r>
      <w:proofErr w:type="spellEnd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raw</w:t>
      </w:r>
      <w:proofErr w:type="spellEnd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14A3D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materials</w:t>
      </w:r>
      <w:proofErr w:type="spellEnd"/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14A3D">
        <w:rPr>
          <w:rFonts w:ascii="Tahoma" w:hAnsi="Tahoma" w:cs="Tahoma"/>
          <w:sz w:val="24"/>
          <w:szCs w:val="24"/>
        </w:rPr>
        <w:t xml:space="preserve">PAGEV </w:t>
      </w:r>
      <w:proofErr w:type="spellStart"/>
      <w:r w:rsidRPr="00D14A3D">
        <w:rPr>
          <w:rFonts w:ascii="Tahoma" w:hAnsi="Tahoma" w:cs="Tahoma"/>
          <w:sz w:val="24"/>
          <w:szCs w:val="24"/>
        </w:rPr>
        <w:t>President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Yavuz Eroğlu, on his </w:t>
      </w:r>
      <w:proofErr w:type="spellStart"/>
      <w:r w:rsidRPr="00D14A3D">
        <w:rPr>
          <w:rFonts w:ascii="Tahoma" w:hAnsi="Tahoma" w:cs="Tahoma"/>
          <w:sz w:val="24"/>
          <w:szCs w:val="24"/>
        </w:rPr>
        <w:t>call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"stop </w:t>
      </w:r>
      <w:proofErr w:type="spellStart"/>
      <w:r w:rsidRPr="00D14A3D">
        <w:rPr>
          <w:rFonts w:ascii="Tahoma" w:hAnsi="Tahoma" w:cs="Tahoma"/>
          <w:sz w:val="24"/>
          <w:szCs w:val="24"/>
        </w:rPr>
        <w:t>purchases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" </w:t>
      </w:r>
      <w:proofErr w:type="spellStart"/>
      <w:r w:rsidRPr="00D14A3D">
        <w:rPr>
          <w:rFonts w:ascii="Tahoma" w:hAnsi="Tahoma" w:cs="Tahoma"/>
          <w:sz w:val="24"/>
          <w:szCs w:val="24"/>
        </w:rPr>
        <w:t>from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drove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their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up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over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150% </w:t>
      </w:r>
      <w:proofErr w:type="spellStart"/>
      <w:r w:rsidRPr="00D14A3D">
        <w:rPr>
          <w:rFonts w:ascii="Tahoma" w:hAnsi="Tahoma" w:cs="Tahoma"/>
          <w:sz w:val="24"/>
          <w:szCs w:val="24"/>
        </w:rPr>
        <w:t>with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plant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shutdowns</w:t>
      </w:r>
      <w:proofErr w:type="spellEnd"/>
      <w:r w:rsidRPr="00D14A3D">
        <w:rPr>
          <w:rFonts w:ascii="Tahoma" w:hAnsi="Tahoma" w:cs="Tahoma"/>
          <w:sz w:val="24"/>
          <w:szCs w:val="24"/>
        </w:rPr>
        <w:t>: “</w:t>
      </w:r>
      <w:proofErr w:type="spellStart"/>
      <w:r w:rsidRPr="00D14A3D">
        <w:rPr>
          <w:rFonts w:ascii="Tahoma" w:hAnsi="Tahoma" w:cs="Tahoma"/>
          <w:sz w:val="24"/>
          <w:szCs w:val="24"/>
        </w:rPr>
        <w:t>Our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boycott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drove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down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15% in </w:t>
      </w:r>
      <w:proofErr w:type="spellStart"/>
      <w:r w:rsidRPr="00D14A3D">
        <w:rPr>
          <w:rFonts w:ascii="Tahoma" w:hAnsi="Tahoma" w:cs="Tahoma"/>
          <w:sz w:val="24"/>
          <w:szCs w:val="24"/>
        </w:rPr>
        <w:t>domestic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market” 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decision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manufacturers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"</w:t>
      </w:r>
      <w:proofErr w:type="spellStart"/>
      <w:r w:rsidRPr="00D14A3D">
        <w:rPr>
          <w:rFonts w:ascii="Tahoma" w:hAnsi="Tahoma" w:cs="Tahoma"/>
          <w:sz w:val="24"/>
          <w:szCs w:val="24"/>
        </w:rPr>
        <w:t>boycott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" </w:t>
      </w:r>
      <w:proofErr w:type="spellStart"/>
      <w:r w:rsidRPr="00D14A3D">
        <w:rPr>
          <w:rFonts w:ascii="Tahoma" w:hAnsi="Tahoma" w:cs="Tahoma"/>
          <w:sz w:val="24"/>
          <w:szCs w:val="24"/>
        </w:rPr>
        <w:t>virgin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polymers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Pr="00D14A3D">
        <w:rPr>
          <w:rFonts w:ascii="Tahoma" w:hAnsi="Tahoma" w:cs="Tahoma"/>
          <w:sz w:val="24"/>
          <w:szCs w:val="24"/>
        </w:rPr>
        <w:t>paid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off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After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calling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producers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stop </w:t>
      </w:r>
      <w:proofErr w:type="spellStart"/>
      <w:r w:rsidRPr="00D14A3D">
        <w:rPr>
          <w:rFonts w:ascii="Tahoma" w:hAnsi="Tahoma" w:cs="Tahoma"/>
          <w:sz w:val="24"/>
          <w:szCs w:val="24"/>
        </w:rPr>
        <w:t>buying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polymers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response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speculative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PAGEV </w:t>
      </w:r>
      <w:proofErr w:type="spellStart"/>
      <w:r w:rsidRPr="00D14A3D">
        <w:rPr>
          <w:rFonts w:ascii="Tahoma" w:hAnsi="Tahoma" w:cs="Tahoma"/>
          <w:sz w:val="24"/>
          <w:szCs w:val="24"/>
        </w:rPr>
        <w:t>stated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purchases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domestic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market has </w:t>
      </w:r>
      <w:proofErr w:type="spellStart"/>
      <w:r w:rsidRPr="00D14A3D">
        <w:rPr>
          <w:rFonts w:ascii="Tahoma" w:hAnsi="Tahoma" w:cs="Tahoma"/>
          <w:sz w:val="24"/>
          <w:szCs w:val="24"/>
        </w:rPr>
        <w:t>almost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stopped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Saying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figures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suggested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widespread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participation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call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boycott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Eroğlu </w:t>
      </w:r>
      <w:proofErr w:type="spellStart"/>
      <w:r w:rsidRPr="00D14A3D">
        <w:rPr>
          <w:rFonts w:ascii="Tahoma" w:hAnsi="Tahoma" w:cs="Tahoma"/>
          <w:sz w:val="24"/>
          <w:szCs w:val="24"/>
        </w:rPr>
        <w:t>stated</w:t>
      </w:r>
      <w:proofErr w:type="spellEnd"/>
      <w:r w:rsidRPr="00D14A3D">
        <w:rPr>
          <w:rFonts w:ascii="Tahoma" w:hAnsi="Tahoma" w:cs="Tahoma"/>
          <w:sz w:val="24"/>
          <w:szCs w:val="24"/>
        </w:rPr>
        <w:t>: "</w:t>
      </w:r>
      <w:proofErr w:type="spellStart"/>
      <w:r w:rsidRPr="00D14A3D">
        <w:rPr>
          <w:rFonts w:ascii="Tahoma" w:hAnsi="Tahoma" w:cs="Tahoma"/>
          <w:sz w:val="24"/>
          <w:szCs w:val="24"/>
        </w:rPr>
        <w:t>We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started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boycott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second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half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March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declined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about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15% </w:t>
      </w:r>
      <w:proofErr w:type="spellStart"/>
      <w:r w:rsidRPr="00D14A3D">
        <w:rPr>
          <w:rFonts w:ascii="Tahoma" w:hAnsi="Tahoma" w:cs="Tahoma"/>
          <w:sz w:val="24"/>
          <w:szCs w:val="24"/>
        </w:rPr>
        <w:t>shortly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afterwards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domestic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market. </w:t>
      </w:r>
      <w:proofErr w:type="spellStart"/>
      <w:r w:rsidRPr="00D14A3D">
        <w:rPr>
          <w:rFonts w:ascii="Tahoma" w:hAnsi="Tahoma" w:cs="Tahoma"/>
          <w:sz w:val="24"/>
          <w:szCs w:val="24"/>
        </w:rPr>
        <w:t>Considering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Turkey </w:t>
      </w:r>
      <w:proofErr w:type="spellStart"/>
      <w:r w:rsidRPr="00D14A3D">
        <w:rPr>
          <w:rFonts w:ascii="Tahoma" w:hAnsi="Tahoma" w:cs="Tahoma"/>
          <w:sz w:val="24"/>
          <w:szCs w:val="24"/>
        </w:rPr>
        <w:t>uses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some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600,000 </w:t>
      </w:r>
      <w:proofErr w:type="spellStart"/>
      <w:r w:rsidRPr="00D14A3D">
        <w:rPr>
          <w:rFonts w:ascii="Tahoma" w:hAnsi="Tahoma" w:cs="Tahoma"/>
          <w:sz w:val="24"/>
          <w:szCs w:val="24"/>
        </w:rPr>
        <w:t>tons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month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15% </w:t>
      </w:r>
      <w:proofErr w:type="spellStart"/>
      <w:r w:rsidRPr="00D14A3D">
        <w:rPr>
          <w:rFonts w:ascii="Tahoma" w:hAnsi="Tahoma" w:cs="Tahoma"/>
          <w:sz w:val="24"/>
          <w:szCs w:val="24"/>
        </w:rPr>
        <w:t>average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reduction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means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14A3D">
        <w:rPr>
          <w:rFonts w:ascii="Tahoma" w:hAnsi="Tahoma" w:cs="Tahoma"/>
          <w:sz w:val="24"/>
          <w:szCs w:val="24"/>
        </w:rPr>
        <w:t>saving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180 </w:t>
      </w:r>
      <w:proofErr w:type="spellStart"/>
      <w:r w:rsidRPr="00D14A3D">
        <w:rPr>
          <w:rFonts w:ascii="Tahoma" w:hAnsi="Tahoma" w:cs="Tahoma"/>
          <w:sz w:val="24"/>
          <w:szCs w:val="24"/>
        </w:rPr>
        <w:t>million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dollars</w:t>
      </w:r>
      <w:proofErr w:type="spellEnd"/>
      <w:r w:rsidRPr="00D14A3D">
        <w:rPr>
          <w:rFonts w:ascii="Tahoma" w:hAnsi="Tahoma" w:cs="Tahoma"/>
          <w:sz w:val="24"/>
          <w:szCs w:val="24"/>
        </w:rPr>
        <w:t>. “</w:t>
      </w:r>
    </w:p>
    <w:p w:rsidR="005C3B07" w:rsidRPr="005117B3" w:rsidRDefault="005C3B07" w:rsidP="005C3B07">
      <w:pPr>
        <w:spacing w:after="0" w:line="240" w:lineRule="auto"/>
        <w:jc w:val="both"/>
        <w:rPr>
          <w:sz w:val="24"/>
        </w:rPr>
      </w:pPr>
    </w:p>
    <w:tbl>
      <w:tblPr>
        <w:tblStyle w:val="TabloKlavuzu"/>
        <w:tblW w:w="9605" w:type="dxa"/>
        <w:jc w:val="center"/>
        <w:tblLayout w:type="fixed"/>
        <w:tblLook w:val="0600" w:firstRow="0" w:lastRow="0" w:firstColumn="0" w:lastColumn="0" w:noHBand="1" w:noVBand="1"/>
      </w:tblPr>
      <w:tblGrid>
        <w:gridCol w:w="4077"/>
        <w:gridCol w:w="745"/>
        <w:gridCol w:w="709"/>
        <w:gridCol w:w="708"/>
        <w:gridCol w:w="684"/>
        <w:gridCol w:w="734"/>
        <w:gridCol w:w="665"/>
        <w:gridCol w:w="711"/>
        <w:gridCol w:w="572"/>
      </w:tblGrid>
      <w:tr w:rsidR="005C3B07" w:rsidRPr="005117B3" w:rsidTr="002F566F">
        <w:trPr>
          <w:trHeight w:val="597"/>
          <w:jc w:val="center"/>
        </w:trPr>
        <w:tc>
          <w:tcPr>
            <w:tcW w:w="4077" w:type="dxa"/>
            <w:vAlign w:val="center"/>
            <w:hideMark/>
          </w:tcPr>
          <w:p w:rsidR="005C3B07" w:rsidRPr="005117B3" w:rsidRDefault="005C3B07" w:rsidP="002F566F">
            <w:pPr>
              <w:rPr>
                <w:b/>
              </w:rPr>
            </w:pPr>
            <w:proofErr w:type="spellStart"/>
            <w:r w:rsidRPr="005117B3">
              <w:rPr>
                <w:b/>
              </w:rPr>
              <w:t>Type</w:t>
            </w:r>
            <w:proofErr w:type="spellEnd"/>
            <w:r w:rsidRPr="005117B3">
              <w:rPr>
                <w:b/>
              </w:rPr>
              <w:t xml:space="preserve"> of </w:t>
            </w:r>
            <w:proofErr w:type="spellStart"/>
            <w:r w:rsidRPr="005117B3">
              <w:rPr>
                <w:b/>
              </w:rPr>
              <w:t>Feedstock</w:t>
            </w:r>
            <w:proofErr w:type="spellEnd"/>
          </w:p>
        </w:tc>
        <w:tc>
          <w:tcPr>
            <w:tcW w:w="745" w:type="dxa"/>
            <w:vAlign w:val="center"/>
            <w:hideMark/>
          </w:tcPr>
          <w:p w:rsidR="005C3B07" w:rsidRPr="005117B3" w:rsidRDefault="005C3B07" w:rsidP="002F566F">
            <w:pPr>
              <w:ind w:left="-31"/>
              <w:jc w:val="center"/>
            </w:pPr>
            <w:r w:rsidRPr="005117B3">
              <w:t>HIPS</w:t>
            </w:r>
          </w:p>
        </w:tc>
        <w:tc>
          <w:tcPr>
            <w:tcW w:w="709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PPBC</w:t>
            </w:r>
          </w:p>
        </w:tc>
        <w:tc>
          <w:tcPr>
            <w:tcW w:w="708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PP</w:t>
            </w:r>
          </w:p>
        </w:tc>
        <w:tc>
          <w:tcPr>
            <w:tcW w:w="684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GPPS</w:t>
            </w:r>
          </w:p>
        </w:tc>
        <w:tc>
          <w:tcPr>
            <w:tcW w:w="734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PET</w:t>
            </w:r>
          </w:p>
        </w:tc>
        <w:tc>
          <w:tcPr>
            <w:tcW w:w="665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LDPE</w:t>
            </w:r>
          </w:p>
        </w:tc>
        <w:tc>
          <w:tcPr>
            <w:tcW w:w="711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HDPE</w:t>
            </w:r>
          </w:p>
        </w:tc>
        <w:tc>
          <w:tcPr>
            <w:tcW w:w="572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PVC</w:t>
            </w:r>
          </w:p>
        </w:tc>
      </w:tr>
      <w:tr w:rsidR="005C3B07" w:rsidRPr="005117B3" w:rsidTr="002F566F">
        <w:trPr>
          <w:trHeight w:val="680"/>
          <w:jc w:val="center"/>
        </w:trPr>
        <w:tc>
          <w:tcPr>
            <w:tcW w:w="4077" w:type="dxa"/>
            <w:vAlign w:val="center"/>
            <w:hideMark/>
          </w:tcPr>
          <w:p w:rsidR="005C3B07" w:rsidRPr="005117B3" w:rsidRDefault="005C3B07" w:rsidP="002F566F">
            <w:pPr>
              <w:rPr>
                <w:b/>
              </w:rPr>
            </w:pPr>
            <w:proofErr w:type="spellStart"/>
            <w:r w:rsidRPr="005117B3">
              <w:rPr>
                <w:b/>
              </w:rPr>
              <w:t>Domestic</w:t>
            </w:r>
            <w:proofErr w:type="spellEnd"/>
            <w:r w:rsidRPr="005117B3">
              <w:rPr>
                <w:b/>
              </w:rPr>
              <w:t xml:space="preserve"> </w:t>
            </w:r>
            <w:proofErr w:type="spellStart"/>
            <w:r w:rsidRPr="005117B3">
              <w:rPr>
                <w:b/>
              </w:rPr>
              <w:t>Price</w:t>
            </w:r>
            <w:proofErr w:type="spellEnd"/>
            <w:r w:rsidRPr="005117B3">
              <w:rPr>
                <w:b/>
              </w:rPr>
              <w:t xml:space="preserve"> </w:t>
            </w:r>
            <w:proofErr w:type="spellStart"/>
            <w:r w:rsidRPr="005117B3">
              <w:rPr>
                <w:b/>
              </w:rPr>
              <w:t>Decrease</w:t>
            </w:r>
            <w:proofErr w:type="spellEnd"/>
            <w:r w:rsidRPr="005117B3">
              <w:rPr>
                <w:b/>
              </w:rPr>
              <w:t xml:space="preserve"> </w:t>
            </w:r>
            <w:proofErr w:type="spellStart"/>
            <w:r w:rsidRPr="005117B3">
              <w:rPr>
                <w:b/>
              </w:rPr>
              <w:t>after</w:t>
            </w:r>
            <w:proofErr w:type="spellEnd"/>
            <w:r w:rsidRPr="005117B3">
              <w:rPr>
                <w:b/>
              </w:rPr>
              <w:t xml:space="preserve"> </w:t>
            </w:r>
            <w:proofErr w:type="spellStart"/>
            <w:r w:rsidRPr="005117B3">
              <w:rPr>
                <w:b/>
              </w:rPr>
              <w:t>Boycott</w:t>
            </w:r>
            <w:proofErr w:type="spellEnd"/>
          </w:p>
        </w:tc>
        <w:tc>
          <w:tcPr>
            <w:tcW w:w="745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-2</w:t>
            </w:r>
            <w:r>
              <w:t>8</w:t>
            </w:r>
            <w:r w:rsidRPr="005117B3">
              <w:t>%</w:t>
            </w:r>
          </w:p>
        </w:tc>
        <w:tc>
          <w:tcPr>
            <w:tcW w:w="709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-2</w:t>
            </w:r>
            <w:r>
              <w:t>8</w:t>
            </w:r>
            <w:r w:rsidRPr="005117B3">
              <w:t>%</w:t>
            </w:r>
          </w:p>
        </w:tc>
        <w:tc>
          <w:tcPr>
            <w:tcW w:w="708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-</w:t>
            </w:r>
            <w:r>
              <w:t>21</w:t>
            </w:r>
            <w:r w:rsidRPr="005117B3">
              <w:t>%</w:t>
            </w:r>
          </w:p>
        </w:tc>
        <w:tc>
          <w:tcPr>
            <w:tcW w:w="684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-10%</w:t>
            </w:r>
          </w:p>
        </w:tc>
        <w:tc>
          <w:tcPr>
            <w:tcW w:w="734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-</w:t>
            </w:r>
            <w:r>
              <w:t>8</w:t>
            </w:r>
            <w:r w:rsidRPr="005117B3">
              <w:t>%</w:t>
            </w:r>
          </w:p>
        </w:tc>
        <w:tc>
          <w:tcPr>
            <w:tcW w:w="665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-</w:t>
            </w:r>
            <w:r>
              <w:t>14</w:t>
            </w:r>
            <w:r w:rsidRPr="005117B3">
              <w:t>%</w:t>
            </w:r>
          </w:p>
        </w:tc>
        <w:tc>
          <w:tcPr>
            <w:tcW w:w="711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 w:rsidRPr="005117B3">
              <w:t>-1</w:t>
            </w:r>
            <w:r>
              <w:t>5</w:t>
            </w:r>
            <w:r w:rsidRPr="005117B3">
              <w:t>%</w:t>
            </w:r>
          </w:p>
        </w:tc>
        <w:tc>
          <w:tcPr>
            <w:tcW w:w="572" w:type="dxa"/>
            <w:vAlign w:val="center"/>
            <w:hideMark/>
          </w:tcPr>
          <w:p w:rsidR="005C3B07" w:rsidRPr="005117B3" w:rsidRDefault="005C3B07" w:rsidP="002F566F">
            <w:pPr>
              <w:jc w:val="center"/>
            </w:pPr>
            <w:r>
              <w:t>-1</w:t>
            </w:r>
            <w:r w:rsidRPr="005117B3">
              <w:t>%</w:t>
            </w:r>
          </w:p>
        </w:tc>
      </w:tr>
    </w:tbl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D14A3D">
        <w:rPr>
          <w:rFonts w:ascii="Tahoma" w:hAnsi="Tahoma" w:cs="Tahoma"/>
          <w:b/>
          <w:sz w:val="24"/>
          <w:szCs w:val="24"/>
        </w:rPr>
        <w:t>NEW PETROCHEM</w:t>
      </w:r>
      <w:r w:rsidR="005C3B07">
        <w:rPr>
          <w:rFonts w:ascii="Tahoma" w:hAnsi="Tahoma" w:cs="Tahoma"/>
          <w:b/>
          <w:sz w:val="24"/>
          <w:szCs w:val="24"/>
        </w:rPr>
        <w:t>I</w:t>
      </w:r>
      <w:r w:rsidRPr="00D14A3D">
        <w:rPr>
          <w:rFonts w:ascii="Tahoma" w:hAnsi="Tahoma" w:cs="Tahoma"/>
          <w:b/>
          <w:sz w:val="24"/>
          <w:szCs w:val="24"/>
        </w:rPr>
        <w:t>CAL CAPAC</w:t>
      </w:r>
      <w:r w:rsidR="000924DC">
        <w:rPr>
          <w:rFonts w:ascii="Tahoma" w:hAnsi="Tahoma" w:cs="Tahoma"/>
          <w:b/>
          <w:sz w:val="24"/>
          <w:szCs w:val="24"/>
        </w:rPr>
        <w:t>I</w:t>
      </w:r>
      <w:r w:rsidRPr="00D14A3D">
        <w:rPr>
          <w:rFonts w:ascii="Tahoma" w:hAnsi="Tahoma" w:cs="Tahoma"/>
          <w:b/>
          <w:sz w:val="24"/>
          <w:szCs w:val="24"/>
        </w:rPr>
        <w:t>T</w:t>
      </w:r>
      <w:r w:rsidR="000924DC">
        <w:rPr>
          <w:rFonts w:ascii="Tahoma" w:hAnsi="Tahoma" w:cs="Tahoma"/>
          <w:b/>
          <w:sz w:val="24"/>
          <w:szCs w:val="24"/>
        </w:rPr>
        <w:t>I</w:t>
      </w:r>
      <w:r w:rsidRPr="00D14A3D">
        <w:rPr>
          <w:rFonts w:ascii="Tahoma" w:hAnsi="Tahoma" w:cs="Tahoma"/>
          <w:b/>
          <w:sz w:val="24"/>
          <w:szCs w:val="24"/>
        </w:rPr>
        <w:t xml:space="preserve">ES </w:t>
      </w:r>
      <w:r w:rsidR="000924DC">
        <w:rPr>
          <w:rFonts w:ascii="Tahoma" w:hAnsi="Tahoma" w:cs="Tahoma"/>
          <w:b/>
          <w:sz w:val="24"/>
          <w:szCs w:val="24"/>
        </w:rPr>
        <w:t>I</w:t>
      </w:r>
      <w:r w:rsidRPr="00D14A3D">
        <w:rPr>
          <w:rFonts w:ascii="Tahoma" w:hAnsi="Tahoma" w:cs="Tahoma"/>
          <w:b/>
          <w:sz w:val="24"/>
          <w:szCs w:val="24"/>
        </w:rPr>
        <w:t>N CHINA WILL ACCELERATE THE FALL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14A3D">
        <w:rPr>
          <w:rFonts w:ascii="Tahoma" w:hAnsi="Tahoma" w:cs="Tahoma"/>
          <w:sz w:val="24"/>
          <w:szCs w:val="24"/>
        </w:rPr>
        <w:t>Saying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Plastics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Manufacturers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would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continue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resist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astronomical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pushed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suspiciously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synchronized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shutdowns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, Eroğlu </w:t>
      </w:r>
      <w:proofErr w:type="spellStart"/>
      <w:r w:rsidRPr="00D14A3D">
        <w:rPr>
          <w:rFonts w:ascii="Tahoma" w:hAnsi="Tahoma" w:cs="Tahoma"/>
          <w:sz w:val="24"/>
          <w:szCs w:val="24"/>
        </w:rPr>
        <w:t>continued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: “Turkey is </w:t>
      </w:r>
      <w:proofErr w:type="spellStart"/>
      <w:r w:rsidRPr="00D14A3D">
        <w:rPr>
          <w:rFonts w:ascii="Tahoma" w:hAnsi="Tahoma" w:cs="Tahoma"/>
          <w:sz w:val="24"/>
          <w:szCs w:val="24"/>
        </w:rPr>
        <w:t>one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largest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polymer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importers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globally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D14A3D">
        <w:rPr>
          <w:rFonts w:ascii="Tahoma" w:hAnsi="Tahoma" w:cs="Tahoma"/>
          <w:sz w:val="24"/>
          <w:szCs w:val="24"/>
        </w:rPr>
        <w:t>Turkish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Plastics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manufacturers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continue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hold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out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until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June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when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new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facilities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online in </w:t>
      </w:r>
      <w:proofErr w:type="spellStart"/>
      <w:r w:rsidRPr="00D14A3D">
        <w:rPr>
          <w:rFonts w:ascii="Tahoma" w:hAnsi="Tahoma" w:cs="Tahoma"/>
          <w:sz w:val="24"/>
          <w:szCs w:val="24"/>
        </w:rPr>
        <w:t>China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which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world's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largest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plastics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importer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and </w:t>
      </w:r>
      <w:proofErr w:type="spellStart"/>
      <w:r w:rsidRPr="00D14A3D">
        <w:rPr>
          <w:rFonts w:ascii="Tahoma" w:hAnsi="Tahoma" w:cs="Tahoma"/>
          <w:sz w:val="24"/>
          <w:szCs w:val="24"/>
        </w:rPr>
        <w:t>there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be an </w:t>
      </w:r>
      <w:proofErr w:type="spellStart"/>
      <w:r w:rsidRPr="00D14A3D">
        <w:rPr>
          <w:rFonts w:ascii="Tahoma" w:hAnsi="Tahoma" w:cs="Tahoma"/>
          <w:sz w:val="24"/>
          <w:szCs w:val="24"/>
        </w:rPr>
        <w:t>abundance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feedstock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further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drive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down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boycott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help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deflate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speculative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bubble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with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greatly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enhanced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supply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China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after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June</w:t>
      </w:r>
      <w:proofErr w:type="spellEnd"/>
      <w:r w:rsidRPr="00D14A3D">
        <w:rPr>
          <w:rFonts w:ascii="Tahoma" w:hAnsi="Tahoma" w:cs="Tahoma"/>
          <w:sz w:val="24"/>
          <w:szCs w:val="24"/>
        </w:rPr>
        <w:t>”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D14A3D">
        <w:rPr>
          <w:rFonts w:ascii="Tahoma" w:hAnsi="Tahoma" w:cs="Tahoma"/>
          <w:b/>
          <w:sz w:val="24"/>
          <w:szCs w:val="24"/>
        </w:rPr>
        <w:lastRenderedPageBreak/>
        <w:t xml:space="preserve">THE BOYCOTT WILL CONTINUE 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14A3D">
        <w:rPr>
          <w:rFonts w:ascii="Tahoma" w:hAnsi="Tahoma" w:cs="Tahoma"/>
          <w:sz w:val="24"/>
          <w:szCs w:val="24"/>
        </w:rPr>
        <w:t xml:space="preserve">Eroğlu </w:t>
      </w:r>
      <w:proofErr w:type="spellStart"/>
      <w:r w:rsidRPr="00D14A3D">
        <w:rPr>
          <w:rFonts w:ascii="Tahoma" w:hAnsi="Tahoma" w:cs="Tahoma"/>
          <w:sz w:val="24"/>
          <w:szCs w:val="24"/>
        </w:rPr>
        <w:t>said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would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continue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work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with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minimal </w:t>
      </w:r>
      <w:proofErr w:type="spellStart"/>
      <w:r w:rsidRPr="00D14A3D">
        <w:rPr>
          <w:rFonts w:ascii="Tahoma" w:hAnsi="Tahoma" w:cs="Tahoma"/>
          <w:sz w:val="24"/>
          <w:szCs w:val="24"/>
        </w:rPr>
        <w:t>inventory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D14A3D">
        <w:rPr>
          <w:rFonts w:ascii="Tahoma" w:hAnsi="Tahoma" w:cs="Tahoma"/>
          <w:sz w:val="24"/>
          <w:szCs w:val="24"/>
        </w:rPr>
        <w:t>hold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off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purchases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until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June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and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while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15%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fall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was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14A3D">
        <w:rPr>
          <w:rFonts w:ascii="Tahoma" w:hAnsi="Tahoma" w:cs="Tahoma"/>
          <w:sz w:val="24"/>
          <w:szCs w:val="24"/>
        </w:rPr>
        <w:t>good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start, it </w:t>
      </w:r>
      <w:proofErr w:type="spellStart"/>
      <w:r w:rsidRPr="00D14A3D">
        <w:rPr>
          <w:rFonts w:ascii="Tahoma" w:hAnsi="Tahoma" w:cs="Tahoma"/>
          <w:sz w:val="24"/>
          <w:szCs w:val="24"/>
        </w:rPr>
        <w:t>was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14A3D">
        <w:rPr>
          <w:rFonts w:ascii="Tahoma" w:hAnsi="Tahoma" w:cs="Tahoma"/>
          <w:sz w:val="24"/>
          <w:szCs w:val="24"/>
        </w:rPr>
        <w:t>fraction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150%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hike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continuing</w:t>
      </w:r>
      <w:proofErr w:type="spellEnd"/>
      <w:r w:rsidRPr="00D14A3D">
        <w:rPr>
          <w:rFonts w:ascii="Tahoma" w:hAnsi="Tahoma" w:cs="Tahoma"/>
          <w:sz w:val="24"/>
          <w:szCs w:val="24"/>
        </w:rPr>
        <w:t>: "</w:t>
      </w:r>
      <w:proofErr w:type="spellStart"/>
      <w:r w:rsidRPr="00D14A3D">
        <w:rPr>
          <w:rFonts w:ascii="Tahoma" w:hAnsi="Tahoma" w:cs="Tahoma"/>
          <w:sz w:val="24"/>
          <w:szCs w:val="24"/>
        </w:rPr>
        <w:t>Plastics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manufacturers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had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shut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off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production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lines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because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astronomical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getting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their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hopes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back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up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We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continue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hold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out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</w:t>
      </w:r>
      <w:proofErr w:type="spellStart"/>
      <w:r w:rsidRPr="00D14A3D">
        <w:rPr>
          <w:rFonts w:ascii="Tahoma" w:hAnsi="Tahoma" w:cs="Tahoma"/>
          <w:sz w:val="24"/>
          <w:szCs w:val="24"/>
        </w:rPr>
        <w:t>long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</w:t>
      </w:r>
      <w:proofErr w:type="spellStart"/>
      <w:r w:rsidRPr="00D14A3D">
        <w:rPr>
          <w:rFonts w:ascii="Tahoma" w:hAnsi="Tahoma" w:cs="Tahoma"/>
          <w:sz w:val="24"/>
          <w:szCs w:val="24"/>
        </w:rPr>
        <w:t>we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can and </w:t>
      </w:r>
      <w:proofErr w:type="spellStart"/>
      <w:r w:rsidRPr="00D14A3D">
        <w:rPr>
          <w:rFonts w:ascii="Tahoma" w:hAnsi="Tahoma" w:cs="Tahoma"/>
          <w:sz w:val="24"/>
          <w:szCs w:val="24"/>
        </w:rPr>
        <w:t>help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return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small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D14A3D">
        <w:rPr>
          <w:rFonts w:ascii="Tahoma" w:hAnsi="Tahoma" w:cs="Tahoma"/>
          <w:sz w:val="24"/>
          <w:szCs w:val="24"/>
        </w:rPr>
        <w:t>medium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businesses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had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shutter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back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production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steps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take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Pr="00D14A3D">
        <w:rPr>
          <w:rFonts w:ascii="Tahoma" w:hAnsi="Tahoma" w:cs="Tahoma"/>
          <w:sz w:val="24"/>
          <w:szCs w:val="24"/>
        </w:rPr>
        <w:t>have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begun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pay </w:t>
      </w:r>
      <w:proofErr w:type="spellStart"/>
      <w:r w:rsidRPr="00D14A3D">
        <w:rPr>
          <w:rFonts w:ascii="Tahoma" w:hAnsi="Tahoma" w:cs="Tahoma"/>
          <w:sz w:val="24"/>
          <w:szCs w:val="24"/>
        </w:rPr>
        <w:t>off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As a </w:t>
      </w:r>
      <w:proofErr w:type="spellStart"/>
      <w:r w:rsidRPr="00D14A3D">
        <w:rPr>
          <w:rFonts w:ascii="Tahoma" w:hAnsi="Tahoma" w:cs="Tahoma"/>
          <w:sz w:val="24"/>
          <w:szCs w:val="24"/>
        </w:rPr>
        <w:t>stopgap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measure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we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had </w:t>
      </w:r>
      <w:proofErr w:type="spellStart"/>
      <w:r w:rsidRPr="00D14A3D">
        <w:rPr>
          <w:rFonts w:ascii="Tahoma" w:hAnsi="Tahoma" w:cs="Tahoma"/>
          <w:sz w:val="24"/>
          <w:szCs w:val="24"/>
        </w:rPr>
        <w:t>asked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PETKİM (</w:t>
      </w:r>
      <w:proofErr w:type="spellStart"/>
      <w:r w:rsidRPr="00D14A3D">
        <w:rPr>
          <w:rFonts w:ascii="Tahoma" w:hAnsi="Tahoma" w:cs="Tahoma"/>
          <w:sz w:val="24"/>
          <w:szCs w:val="24"/>
        </w:rPr>
        <w:t>local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integrated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allocate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entire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production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domestic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market. </w:t>
      </w:r>
      <w:proofErr w:type="spellStart"/>
      <w:r w:rsidRPr="00D14A3D">
        <w:rPr>
          <w:rFonts w:ascii="Tahoma" w:hAnsi="Tahoma" w:cs="Tahoma"/>
          <w:sz w:val="24"/>
          <w:szCs w:val="24"/>
        </w:rPr>
        <w:t>We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asked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government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removal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taxation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D14A3D">
        <w:rPr>
          <w:rFonts w:ascii="Tahoma" w:hAnsi="Tahoma" w:cs="Tahoma"/>
          <w:sz w:val="24"/>
          <w:szCs w:val="24"/>
        </w:rPr>
        <w:t>protectionist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measures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Pr="00D14A3D">
        <w:rPr>
          <w:rFonts w:ascii="Tahoma" w:hAnsi="Tahoma" w:cs="Tahoma"/>
          <w:sz w:val="24"/>
          <w:szCs w:val="24"/>
        </w:rPr>
        <w:t>plastic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imports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,. </w:t>
      </w:r>
      <w:proofErr w:type="spellStart"/>
      <w:r w:rsidRPr="00D14A3D">
        <w:rPr>
          <w:rFonts w:ascii="Tahoma" w:hAnsi="Tahoma" w:cs="Tahoma"/>
          <w:sz w:val="24"/>
          <w:szCs w:val="24"/>
        </w:rPr>
        <w:t>Meanwhile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we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called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manufacturers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use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recycled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feedstocks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</w:t>
      </w:r>
      <w:proofErr w:type="spellStart"/>
      <w:r w:rsidRPr="00D14A3D">
        <w:rPr>
          <w:rFonts w:ascii="Tahoma" w:hAnsi="Tahoma" w:cs="Tahoma"/>
          <w:sz w:val="24"/>
          <w:szCs w:val="24"/>
        </w:rPr>
        <w:t>much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</w:t>
      </w:r>
      <w:proofErr w:type="spellStart"/>
      <w:r w:rsidRPr="00D14A3D">
        <w:rPr>
          <w:rFonts w:ascii="Tahoma" w:hAnsi="Tahoma" w:cs="Tahoma"/>
          <w:sz w:val="24"/>
          <w:szCs w:val="24"/>
        </w:rPr>
        <w:t>possible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In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addition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short-term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measures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we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working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with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public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authorities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society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encourage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Turkey </w:t>
      </w:r>
      <w:proofErr w:type="spellStart"/>
      <w:r w:rsidRPr="00D14A3D">
        <w:rPr>
          <w:rFonts w:ascii="Tahoma" w:hAnsi="Tahoma" w:cs="Tahoma"/>
          <w:sz w:val="24"/>
          <w:szCs w:val="24"/>
        </w:rPr>
        <w:t>Wealth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Fund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prioritize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facility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investment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Pr="00D14A3D">
        <w:rPr>
          <w:rFonts w:ascii="Tahoma" w:hAnsi="Tahoma" w:cs="Tahoma"/>
          <w:sz w:val="24"/>
          <w:szCs w:val="24"/>
        </w:rPr>
        <w:t>which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tangible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work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being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done. </w:t>
      </w:r>
      <w:proofErr w:type="spellStart"/>
      <w:r w:rsidRPr="00D14A3D">
        <w:rPr>
          <w:rFonts w:ascii="Tahoma" w:hAnsi="Tahoma" w:cs="Tahoma"/>
          <w:sz w:val="24"/>
          <w:szCs w:val="24"/>
        </w:rPr>
        <w:t>We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working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with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industry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stakeholders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bring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14A3D">
        <w:rPr>
          <w:rFonts w:ascii="Tahoma" w:hAnsi="Tahoma" w:cs="Tahoma"/>
          <w:sz w:val="24"/>
          <w:szCs w:val="24"/>
        </w:rPr>
        <w:t>solution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issue</w:t>
      </w:r>
      <w:proofErr w:type="spellEnd"/>
      <w:r w:rsidRPr="00D14A3D">
        <w:rPr>
          <w:rFonts w:ascii="Tahoma" w:hAnsi="Tahoma" w:cs="Tahoma"/>
          <w:sz w:val="24"/>
          <w:szCs w:val="24"/>
        </w:rPr>
        <w:t>."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D14A3D">
        <w:rPr>
          <w:rFonts w:ascii="Tahoma" w:hAnsi="Tahoma" w:cs="Tahoma"/>
          <w:b/>
          <w:sz w:val="24"/>
          <w:szCs w:val="24"/>
        </w:rPr>
        <w:t>EXCUSES FOR SHUTDOWNS AND HIGH PRICES ARE UNSATISFACTORY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14A3D">
        <w:rPr>
          <w:rFonts w:ascii="Tahoma" w:hAnsi="Tahoma" w:cs="Tahoma"/>
          <w:sz w:val="24"/>
          <w:szCs w:val="24"/>
        </w:rPr>
        <w:t>Meanwhile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argue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climbed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this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peak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due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freight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charges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However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most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plants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based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Europe and Turkey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integrated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plants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make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their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own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key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input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components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Some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them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also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obtain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14A3D">
        <w:rPr>
          <w:rFonts w:ascii="Tahoma" w:hAnsi="Tahoma" w:cs="Tahoma"/>
          <w:sz w:val="24"/>
          <w:szCs w:val="24"/>
        </w:rPr>
        <w:t>significant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portion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feedstock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from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refinery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on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same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property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owned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same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parent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Freight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charges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more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a </w:t>
      </w:r>
      <w:proofErr w:type="spellStart"/>
      <w:r w:rsidRPr="00D14A3D">
        <w:rPr>
          <w:rFonts w:ascii="Tahoma" w:hAnsi="Tahoma" w:cs="Tahoma"/>
          <w:sz w:val="24"/>
          <w:szCs w:val="24"/>
        </w:rPr>
        <w:t>concern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foreign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based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Far East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sell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Europe and Turkey, not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local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ones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contrary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if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freight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an </w:t>
      </w:r>
      <w:proofErr w:type="spellStart"/>
      <w:r w:rsidRPr="00D14A3D">
        <w:rPr>
          <w:rFonts w:ascii="Tahoma" w:hAnsi="Tahoma" w:cs="Tahoma"/>
          <w:sz w:val="24"/>
          <w:szCs w:val="24"/>
        </w:rPr>
        <w:t>issue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foreign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competitor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at a </w:t>
      </w:r>
      <w:proofErr w:type="spellStart"/>
      <w:r w:rsidRPr="00D14A3D">
        <w:rPr>
          <w:rFonts w:ascii="Tahoma" w:hAnsi="Tahoma" w:cs="Tahoma"/>
          <w:sz w:val="24"/>
          <w:szCs w:val="24"/>
        </w:rPr>
        <w:t>disadvantage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against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local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plants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Therefore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we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at a </w:t>
      </w:r>
      <w:proofErr w:type="spellStart"/>
      <w:r w:rsidRPr="00D14A3D">
        <w:rPr>
          <w:rFonts w:ascii="Tahoma" w:hAnsi="Tahoma" w:cs="Tahoma"/>
          <w:sz w:val="24"/>
          <w:szCs w:val="24"/>
        </w:rPr>
        <w:t>loss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why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plants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use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freight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charges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a </w:t>
      </w:r>
      <w:proofErr w:type="spellStart"/>
      <w:r w:rsidRPr="00D14A3D">
        <w:rPr>
          <w:rFonts w:ascii="Tahoma" w:hAnsi="Tahoma" w:cs="Tahoma"/>
          <w:sz w:val="24"/>
          <w:szCs w:val="24"/>
        </w:rPr>
        <w:t>pretext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argument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freight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charges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driving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higher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</w:t>
      </w:r>
      <w:proofErr w:type="spellStart"/>
      <w:r w:rsidRPr="00D14A3D">
        <w:rPr>
          <w:rFonts w:ascii="Tahoma" w:hAnsi="Tahoma" w:cs="Tahoma"/>
          <w:sz w:val="24"/>
          <w:szCs w:val="24"/>
        </w:rPr>
        <w:t>brought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forward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exactly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why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their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should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remain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lower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their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far </w:t>
      </w:r>
      <w:proofErr w:type="spellStart"/>
      <w:r w:rsidRPr="00D14A3D">
        <w:rPr>
          <w:rFonts w:ascii="Tahoma" w:hAnsi="Tahoma" w:cs="Tahoma"/>
          <w:sz w:val="24"/>
          <w:szCs w:val="24"/>
        </w:rPr>
        <w:t>east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competitors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science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mathematics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D14A3D">
        <w:rPr>
          <w:rFonts w:ascii="Tahoma" w:hAnsi="Tahoma" w:cs="Tahoma"/>
          <w:sz w:val="24"/>
          <w:szCs w:val="24"/>
        </w:rPr>
        <w:t>economics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militate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local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operating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right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locally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incur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less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freight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charges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 Far </w:t>
      </w:r>
      <w:proofErr w:type="spellStart"/>
      <w:r w:rsidRPr="00D14A3D">
        <w:rPr>
          <w:rFonts w:ascii="Tahoma" w:hAnsi="Tahoma" w:cs="Tahoma"/>
          <w:sz w:val="24"/>
          <w:szCs w:val="24"/>
        </w:rPr>
        <w:t>Eastern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ships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products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halfway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across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world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Europe.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14A3D">
        <w:rPr>
          <w:rFonts w:ascii="Tahoma" w:hAnsi="Tahoma" w:cs="Tahoma"/>
          <w:sz w:val="24"/>
          <w:szCs w:val="24"/>
        </w:rPr>
        <w:t>Associating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with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petroleum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also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 </w:t>
      </w:r>
      <w:proofErr w:type="spellStart"/>
      <w:r w:rsidRPr="00D14A3D">
        <w:rPr>
          <w:rFonts w:ascii="Tahoma" w:hAnsi="Tahoma" w:cs="Tahoma"/>
          <w:sz w:val="24"/>
          <w:szCs w:val="24"/>
        </w:rPr>
        <w:t>incoherent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argument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primarily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depends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Pr="00D14A3D">
        <w:rPr>
          <w:rFonts w:ascii="Tahoma" w:hAnsi="Tahoma" w:cs="Tahoma"/>
          <w:sz w:val="24"/>
          <w:szCs w:val="24"/>
        </w:rPr>
        <w:t>supply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D14A3D">
        <w:rPr>
          <w:rFonts w:ascii="Tahoma" w:hAnsi="Tahoma" w:cs="Tahoma"/>
          <w:sz w:val="24"/>
          <w:szCs w:val="24"/>
        </w:rPr>
        <w:t>demand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 </w:t>
      </w:r>
      <w:proofErr w:type="spellStart"/>
      <w:r w:rsidRPr="00D14A3D">
        <w:rPr>
          <w:rFonts w:ascii="Tahoma" w:hAnsi="Tahoma" w:cs="Tahoma"/>
          <w:sz w:val="24"/>
          <w:szCs w:val="24"/>
        </w:rPr>
        <w:t>In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2018, </w:t>
      </w:r>
      <w:proofErr w:type="spellStart"/>
      <w:r w:rsidRPr="00D14A3D">
        <w:rPr>
          <w:rFonts w:ascii="Tahoma" w:hAnsi="Tahoma" w:cs="Tahoma"/>
          <w:sz w:val="24"/>
          <w:szCs w:val="24"/>
        </w:rPr>
        <w:t>when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14A3D">
        <w:rPr>
          <w:rFonts w:ascii="Tahoma" w:hAnsi="Tahoma" w:cs="Tahoma"/>
          <w:sz w:val="24"/>
          <w:szCs w:val="24"/>
        </w:rPr>
        <w:t>barrel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petroleum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was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around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60 USD, PVC </w:t>
      </w:r>
      <w:proofErr w:type="spellStart"/>
      <w:r w:rsidRPr="00D14A3D">
        <w:rPr>
          <w:rFonts w:ascii="Tahoma" w:hAnsi="Tahoma" w:cs="Tahoma"/>
          <w:sz w:val="24"/>
          <w:szCs w:val="24"/>
        </w:rPr>
        <w:t>was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selling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1000 USD/ton spot; </w:t>
      </w:r>
      <w:proofErr w:type="spellStart"/>
      <w:r w:rsidRPr="00D14A3D">
        <w:rPr>
          <w:rFonts w:ascii="Tahoma" w:hAnsi="Tahoma" w:cs="Tahoma"/>
          <w:sz w:val="24"/>
          <w:szCs w:val="24"/>
        </w:rPr>
        <w:t>just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D14A3D">
        <w:rPr>
          <w:rFonts w:ascii="Tahoma" w:hAnsi="Tahoma" w:cs="Tahoma"/>
          <w:sz w:val="24"/>
          <w:szCs w:val="24"/>
        </w:rPr>
        <w:t>weeks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ago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oil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roughly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same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but spot PVC </w:t>
      </w:r>
      <w:proofErr w:type="spellStart"/>
      <w:r w:rsidRPr="00D14A3D">
        <w:rPr>
          <w:rFonts w:ascii="Tahoma" w:hAnsi="Tahoma" w:cs="Tahoma"/>
          <w:sz w:val="24"/>
          <w:szCs w:val="24"/>
        </w:rPr>
        <w:t>sells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2100 USD/ton in spot. </w:t>
      </w:r>
      <w:proofErr w:type="spellStart"/>
      <w:r w:rsidRPr="00D14A3D">
        <w:rPr>
          <w:rFonts w:ascii="Tahoma" w:hAnsi="Tahoma" w:cs="Tahoma"/>
          <w:sz w:val="24"/>
          <w:szCs w:val="24"/>
        </w:rPr>
        <w:t>Its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has </w:t>
      </w:r>
      <w:proofErr w:type="spellStart"/>
      <w:r w:rsidRPr="00D14A3D">
        <w:rPr>
          <w:rFonts w:ascii="Tahoma" w:hAnsi="Tahoma" w:cs="Tahoma"/>
          <w:sz w:val="24"/>
          <w:szCs w:val="24"/>
        </w:rPr>
        <w:t>more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doubled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when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oil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has </w:t>
      </w:r>
      <w:proofErr w:type="spellStart"/>
      <w:r w:rsidRPr="00D14A3D">
        <w:rPr>
          <w:rFonts w:ascii="Tahoma" w:hAnsi="Tahoma" w:cs="Tahoma"/>
          <w:sz w:val="24"/>
          <w:szCs w:val="24"/>
        </w:rPr>
        <w:t>stayed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same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This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why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petroleum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cannot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explain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hike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>.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also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claim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have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because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bad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weather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Texas. </w:t>
      </w:r>
      <w:proofErr w:type="spellStart"/>
      <w:r w:rsidRPr="00D14A3D">
        <w:rPr>
          <w:rFonts w:ascii="Tahoma" w:hAnsi="Tahoma" w:cs="Tahoma"/>
          <w:sz w:val="24"/>
          <w:szCs w:val="24"/>
        </w:rPr>
        <w:t>This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argument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does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not </w:t>
      </w:r>
      <w:proofErr w:type="spellStart"/>
      <w:r w:rsidRPr="00D14A3D">
        <w:rPr>
          <w:rFonts w:ascii="Tahoma" w:hAnsi="Tahoma" w:cs="Tahoma"/>
          <w:sz w:val="24"/>
          <w:szCs w:val="24"/>
        </w:rPr>
        <w:t>explain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whole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story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US, Europe and </w:t>
      </w:r>
      <w:proofErr w:type="spellStart"/>
      <w:r w:rsidRPr="00D14A3D">
        <w:rPr>
          <w:rFonts w:ascii="Tahoma" w:hAnsi="Tahoma" w:cs="Tahoma"/>
          <w:sz w:val="24"/>
          <w:szCs w:val="24"/>
        </w:rPr>
        <w:t>elsewhere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have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been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declaring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majeures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halting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production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due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various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reasons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since </w:t>
      </w:r>
      <w:proofErr w:type="spellStart"/>
      <w:r w:rsidRPr="00D14A3D">
        <w:rPr>
          <w:rFonts w:ascii="Tahoma" w:hAnsi="Tahoma" w:cs="Tahoma"/>
          <w:sz w:val="24"/>
          <w:szCs w:val="24"/>
        </w:rPr>
        <w:t>November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and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synchronicity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these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majeures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supply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shortages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cannot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Pr="00D14A3D">
        <w:rPr>
          <w:rFonts w:ascii="Tahoma" w:hAnsi="Tahoma" w:cs="Tahoma"/>
          <w:sz w:val="24"/>
          <w:szCs w:val="24"/>
        </w:rPr>
        <w:t>verified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statistics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science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p</w:t>
      </w:r>
      <w:r w:rsidRPr="00D14A3D">
        <w:rPr>
          <w:rFonts w:ascii="Tahoma" w:hAnsi="Tahoma" w:cs="Tahoma"/>
          <w:color w:val="202124"/>
          <w:sz w:val="24"/>
          <w:szCs w:val="24"/>
          <w:shd w:val="clear" w:color="auto" w:fill="FFFFFF"/>
        </w:rPr>
        <w:t>robability</w:t>
      </w:r>
      <w:proofErr w:type="spellEnd"/>
      <w:r w:rsidRPr="00D14A3D">
        <w:rPr>
          <w:rFonts w:ascii="Tahoma" w:hAnsi="Tahoma" w:cs="Tahoma"/>
          <w:b/>
          <w:b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Considering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industry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has </w:t>
      </w:r>
      <w:proofErr w:type="spellStart"/>
      <w:r w:rsidRPr="00D14A3D">
        <w:rPr>
          <w:rFonts w:ascii="Tahoma" w:hAnsi="Tahoma" w:cs="Tahoma"/>
          <w:sz w:val="24"/>
          <w:szCs w:val="24"/>
        </w:rPr>
        <w:t>been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targeted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competition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authorities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worldwide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creating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cartels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past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D14A3D">
        <w:rPr>
          <w:rFonts w:ascii="Tahoma" w:hAnsi="Tahoma" w:cs="Tahoma"/>
          <w:sz w:val="24"/>
          <w:szCs w:val="24"/>
        </w:rPr>
        <w:t>coincidental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shutdown</w:t>
      </w:r>
      <w:proofErr w:type="spellEnd"/>
      <w:r w:rsidRPr="00D14A3D">
        <w:rPr>
          <w:rFonts w:ascii="Tahoma" w:hAnsi="Tahoma" w:cs="Tahoma"/>
          <w:sz w:val="24"/>
          <w:szCs w:val="24"/>
        </w:rPr>
        <w:t>/</w:t>
      </w:r>
      <w:proofErr w:type="spellStart"/>
      <w:r w:rsidRPr="00D14A3D">
        <w:rPr>
          <w:rFonts w:ascii="Tahoma" w:hAnsi="Tahoma" w:cs="Tahoma"/>
          <w:sz w:val="24"/>
          <w:szCs w:val="24"/>
        </w:rPr>
        <w:t>force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majeures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had </w:t>
      </w:r>
      <w:proofErr w:type="spellStart"/>
      <w:r w:rsidRPr="00D14A3D">
        <w:rPr>
          <w:rFonts w:ascii="Tahoma" w:hAnsi="Tahoma" w:cs="Tahoma"/>
          <w:sz w:val="24"/>
          <w:szCs w:val="24"/>
        </w:rPr>
        <w:t>inevitably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lead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enough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give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suspicion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an </w:t>
      </w:r>
      <w:proofErr w:type="spellStart"/>
      <w:r w:rsidRPr="00D14A3D">
        <w:rPr>
          <w:rFonts w:ascii="Tahoma" w:hAnsi="Tahoma" w:cs="Tahoma"/>
          <w:sz w:val="24"/>
          <w:szCs w:val="24"/>
        </w:rPr>
        <w:t>organized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deal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 </w:t>
      </w:r>
      <w:proofErr w:type="spellStart"/>
      <w:r w:rsidRPr="00D14A3D">
        <w:rPr>
          <w:rFonts w:ascii="Tahoma" w:hAnsi="Tahoma" w:cs="Tahoma"/>
          <w:sz w:val="24"/>
          <w:szCs w:val="24"/>
        </w:rPr>
        <w:t>Otherwise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it is of </w:t>
      </w:r>
      <w:proofErr w:type="spellStart"/>
      <w:r w:rsidRPr="00D14A3D">
        <w:rPr>
          <w:rFonts w:ascii="Tahoma" w:hAnsi="Tahoma" w:cs="Tahoma"/>
          <w:sz w:val="24"/>
          <w:szCs w:val="24"/>
        </w:rPr>
        <w:t>course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possible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14A3D">
        <w:rPr>
          <w:rFonts w:ascii="Tahoma" w:hAnsi="Tahoma" w:cs="Tahoma"/>
          <w:sz w:val="24"/>
          <w:szCs w:val="24"/>
        </w:rPr>
        <w:t>natural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disaster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like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one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Texas </w:t>
      </w:r>
      <w:proofErr w:type="spellStart"/>
      <w:r w:rsidRPr="00D14A3D">
        <w:rPr>
          <w:rFonts w:ascii="Tahoma" w:hAnsi="Tahoma" w:cs="Tahoma"/>
          <w:sz w:val="24"/>
          <w:szCs w:val="24"/>
        </w:rPr>
        <w:t>leads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majeure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some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facilities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but </w:t>
      </w:r>
      <w:proofErr w:type="spellStart"/>
      <w:r w:rsidRPr="00D14A3D">
        <w:rPr>
          <w:rFonts w:ascii="Tahoma" w:hAnsi="Tahoma" w:cs="Tahoma"/>
          <w:sz w:val="24"/>
          <w:szCs w:val="24"/>
        </w:rPr>
        <w:t>cannot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only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explanation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why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many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closures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happen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very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short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time and </w:t>
      </w:r>
      <w:proofErr w:type="spellStart"/>
      <w:r w:rsidRPr="00D14A3D">
        <w:rPr>
          <w:rFonts w:ascii="Tahoma" w:hAnsi="Tahoma" w:cs="Tahoma"/>
          <w:sz w:val="24"/>
          <w:szCs w:val="24"/>
        </w:rPr>
        <w:t>simultaneously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around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world</w:t>
      </w:r>
      <w:proofErr w:type="spellEnd"/>
      <w:r w:rsidRPr="00D14A3D">
        <w:rPr>
          <w:rFonts w:ascii="Tahoma" w:hAnsi="Tahoma" w:cs="Tahoma"/>
          <w:sz w:val="24"/>
          <w:szCs w:val="24"/>
        </w:rPr>
        <w:t>.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14A3D">
        <w:rPr>
          <w:rFonts w:ascii="Tahoma" w:hAnsi="Tahoma" w:cs="Tahoma"/>
          <w:sz w:val="24"/>
          <w:szCs w:val="24"/>
        </w:rPr>
        <w:t>Another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explanation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offered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Far East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buying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their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products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D14A3D">
        <w:rPr>
          <w:rFonts w:ascii="Tahoma" w:hAnsi="Tahoma" w:cs="Tahoma"/>
          <w:sz w:val="24"/>
          <w:szCs w:val="24"/>
        </w:rPr>
        <w:t>they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out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stocks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serve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domestic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markets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This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makes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no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sense </w:t>
      </w:r>
      <w:proofErr w:type="spellStart"/>
      <w:r w:rsidRPr="00D14A3D">
        <w:rPr>
          <w:rFonts w:ascii="Tahoma" w:hAnsi="Tahoma" w:cs="Tahoma"/>
          <w:sz w:val="24"/>
          <w:szCs w:val="24"/>
        </w:rPr>
        <w:t>either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same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available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Far East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far </w:t>
      </w:r>
      <w:proofErr w:type="spellStart"/>
      <w:r w:rsidRPr="00D14A3D">
        <w:rPr>
          <w:rFonts w:ascii="Tahoma" w:hAnsi="Tahoma" w:cs="Tahoma"/>
          <w:sz w:val="24"/>
          <w:szCs w:val="24"/>
        </w:rPr>
        <w:t>cheaper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example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spot PP in is 1850 USD/ton in Turkey </w:t>
      </w:r>
      <w:proofErr w:type="spellStart"/>
      <w:r w:rsidRPr="00D14A3D">
        <w:rPr>
          <w:rFonts w:ascii="Tahoma" w:hAnsi="Tahoma" w:cs="Tahoma"/>
          <w:sz w:val="24"/>
          <w:szCs w:val="24"/>
        </w:rPr>
        <w:t>while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D14A3D">
        <w:rPr>
          <w:rFonts w:ascii="Tahoma" w:hAnsi="Tahoma" w:cs="Tahoma"/>
          <w:sz w:val="24"/>
          <w:szCs w:val="24"/>
        </w:rPr>
        <w:t>China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1300 USD/ton. </w:t>
      </w:r>
      <w:proofErr w:type="spellStart"/>
      <w:r w:rsidRPr="00D14A3D">
        <w:rPr>
          <w:rFonts w:ascii="Tahoma" w:hAnsi="Tahoma" w:cs="Tahoma"/>
          <w:sz w:val="24"/>
          <w:szCs w:val="24"/>
        </w:rPr>
        <w:t>Why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would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sell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same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raw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material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China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cheaper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?  </w:t>
      </w:r>
      <w:proofErr w:type="spellStart"/>
      <w:r w:rsidRPr="00D14A3D">
        <w:rPr>
          <w:rFonts w:ascii="Tahoma" w:hAnsi="Tahoma" w:cs="Tahoma"/>
          <w:sz w:val="24"/>
          <w:szCs w:val="24"/>
        </w:rPr>
        <w:t>What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explains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some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selling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Pr="00D14A3D">
        <w:rPr>
          <w:rFonts w:ascii="Tahoma" w:hAnsi="Tahoma" w:cs="Tahoma"/>
          <w:sz w:val="24"/>
          <w:szCs w:val="24"/>
        </w:rPr>
        <w:t>very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cheap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China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whereas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can </w:t>
      </w:r>
      <w:proofErr w:type="spellStart"/>
      <w:r w:rsidRPr="00D14A3D">
        <w:rPr>
          <w:rFonts w:ascii="Tahoma" w:hAnsi="Tahoma" w:cs="Tahoma"/>
          <w:sz w:val="24"/>
          <w:szCs w:val="24"/>
        </w:rPr>
        <w:t>sell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much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higher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Turkey &amp; Europe? 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also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state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pandemic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recovery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a </w:t>
      </w:r>
      <w:proofErr w:type="spellStart"/>
      <w:r w:rsidRPr="00D14A3D">
        <w:rPr>
          <w:rFonts w:ascii="Tahoma" w:hAnsi="Tahoma" w:cs="Tahoma"/>
          <w:sz w:val="24"/>
          <w:szCs w:val="24"/>
        </w:rPr>
        <w:t>reason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because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economy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beginning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recover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This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unsatisfactory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 </w:t>
      </w:r>
      <w:proofErr w:type="spellStart"/>
      <w:r w:rsidRPr="00D14A3D">
        <w:rPr>
          <w:rFonts w:ascii="Tahoma" w:hAnsi="Tahoma" w:cs="Tahoma"/>
          <w:sz w:val="24"/>
          <w:szCs w:val="24"/>
        </w:rPr>
        <w:t>Feedstock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way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above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December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Pr="00D14A3D">
        <w:rPr>
          <w:rFonts w:ascii="Tahoma" w:hAnsi="Tahoma" w:cs="Tahoma"/>
          <w:sz w:val="24"/>
          <w:szCs w:val="24"/>
        </w:rPr>
        <w:t>level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when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pandemic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did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not </w:t>
      </w:r>
      <w:proofErr w:type="spellStart"/>
      <w:r w:rsidRPr="00D14A3D">
        <w:rPr>
          <w:rFonts w:ascii="Tahoma" w:hAnsi="Tahoma" w:cs="Tahoma"/>
          <w:sz w:val="24"/>
          <w:szCs w:val="24"/>
        </w:rPr>
        <w:t>exist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and it </w:t>
      </w:r>
      <w:proofErr w:type="spellStart"/>
      <w:r w:rsidRPr="00D14A3D">
        <w:rPr>
          <w:rFonts w:ascii="Tahoma" w:hAnsi="Tahoma" w:cs="Tahoma"/>
          <w:sz w:val="24"/>
          <w:szCs w:val="24"/>
        </w:rPr>
        <w:t>was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business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as </w:t>
      </w:r>
      <w:proofErr w:type="spellStart"/>
      <w:r w:rsidRPr="00D14A3D">
        <w:rPr>
          <w:rFonts w:ascii="Tahoma" w:hAnsi="Tahoma" w:cs="Tahoma"/>
          <w:sz w:val="24"/>
          <w:szCs w:val="24"/>
        </w:rPr>
        <w:t>usual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How can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Pr="00D14A3D">
        <w:rPr>
          <w:rFonts w:ascii="Tahoma" w:hAnsi="Tahoma" w:cs="Tahoma"/>
          <w:sz w:val="24"/>
          <w:szCs w:val="24"/>
        </w:rPr>
        <w:t>even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higher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now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14A3D">
        <w:rPr>
          <w:rFonts w:ascii="Tahoma" w:hAnsi="Tahoma" w:cs="Tahoma"/>
          <w:sz w:val="24"/>
          <w:szCs w:val="24"/>
        </w:rPr>
        <w:t>when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economic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activity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not yet </w:t>
      </w:r>
      <w:proofErr w:type="spellStart"/>
      <w:r w:rsidRPr="00D14A3D">
        <w:rPr>
          <w:rFonts w:ascii="Tahoma" w:hAnsi="Tahoma" w:cs="Tahoma"/>
          <w:sz w:val="24"/>
          <w:szCs w:val="24"/>
        </w:rPr>
        <w:t>back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normal,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entire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service </w:t>
      </w:r>
      <w:proofErr w:type="spellStart"/>
      <w:r w:rsidRPr="00D14A3D">
        <w:rPr>
          <w:rFonts w:ascii="Tahoma" w:hAnsi="Tahoma" w:cs="Tahoma"/>
          <w:sz w:val="24"/>
          <w:szCs w:val="24"/>
        </w:rPr>
        <w:t>industry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including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tourism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shut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down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, and </w:t>
      </w:r>
      <w:proofErr w:type="spellStart"/>
      <w:r w:rsidRPr="00D14A3D">
        <w:rPr>
          <w:rFonts w:ascii="Tahoma" w:hAnsi="Tahoma" w:cs="Tahoma"/>
          <w:sz w:val="24"/>
          <w:szCs w:val="24"/>
        </w:rPr>
        <w:t>restrictions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continue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? </w:t>
      </w:r>
      <w:proofErr w:type="spellStart"/>
      <w:r w:rsidRPr="00D14A3D">
        <w:rPr>
          <w:rFonts w:ascii="Tahoma" w:hAnsi="Tahoma" w:cs="Tahoma"/>
          <w:sz w:val="24"/>
          <w:szCs w:val="24"/>
        </w:rPr>
        <w:t>There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can </w:t>
      </w:r>
      <w:proofErr w:type="spellStart"/>
      <w:r w:rsidRPr="00D14A3D">
        <w:rPr>
          <w:rFonts w:ascii="Tahoma" w:hAnsi="Tahoma" w:cs="Tahoma"/>
          <w:sz w:val="24"/>
          <w:szCs w:val="24"/>
        </w:rPr>
        <w:t>only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Pr="00D14A3D">
        <w:rPr>
          <w:rFonts w:ascii="Tahoma" w:hAnsi="Tahoma" w:cs="Tahoma"/>
          <w:sz w:val="24"/>
          <w:szCs w:val="24"/>
        </w:rPr>
        <w:t>one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reason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D14A3D">
        <w:rPr>
          <w:rFonts w:ascii="Tahoma" w:hAnsi="Tahoma" w:cs="Tahoma"/>
          <w:sz w:val="24"/>
          <w:szCs w:val="24"/>
        </w:rPr>
        <w:t>Shortage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supply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caused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facilities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being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taken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offline </w:t>
      </w:r>
      <w:proofErr w:type="spellStart"/>
      <w:r w:rsidRPr="00D14A3D">
        <w:rPr>
          <w:rFonts w:ascii="Tahoma" w:hAnsi="Tahoma" w:cs="Tahoma"/>
          <w:sz w:val="24"/>
          <w:szCs w:val="24"/>
        </w:rPr>
        <w:t>by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various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excuses</w:t>
      </w:r>
      <w:proofErr w:type="spellEnd"/>
      <w:r w:rsidRPr="00D14A3D">
        <w:rPr>
          <w:rFonts w:ascii="Tahoma" w:hAnsi="Tahoma" w:cs="Tahoma"/>
          <w:sz w:val="24"/>
          <w:szCs w:val="24"/>
        </w:rPr>
        <w:t>.</w:t>
      </w: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4A3D" w:rsidRPr="00D14A3D" w:rsidRDefault="00D14A3D" w:rsidP="00D14A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14A3D">
        <w:rPr>
          <w:rFonts w:ascii="Tahoma" w:hAnsi="Tahoma" w:cs="Tahoma"/>
          <w:sz w:val="24"/>
          <w:szCs w:val="24"/>
        </w:rPr>
        <w:t>Petrochemical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companies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claim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increase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D14A3D">
        <w:rPr>
          <w:rFonts w:ascii="Tahoma" w:hAnsi="Tahoma" w:cs="Tahoma"/>
          <w:sz w:val="24"/>
          <w:szCs w:val="24"/>
        </w:rPr>
        <w:t>also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due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to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use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medical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supplies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Covid-19 </w:t>
      </w:r>
      <w:proofErr w:type="spellStart"/>
      <w:r w:rsidRPr="00D14A3D">
        <w:rPr>
          <w:rFonts w:ascii="Tahoma" w:hAnsi="Tahoma" w:cs="Tahoma"/>
          <w:sz w:val="24"/>
          <w:szCs w:val="24"/>
        </w:rPr>
        <w:t>prevention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This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contradicts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available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data. </w:t>
      </w:r>
      <w:proofErr w:type="spellStart"/>
      <w:r w:rsidRPr="00D14A3D">
        <w:rPr>
          <w:rFonts w:ascii="Tahoma" w:hAnsi="Tahoma" w:cs="Tahoma"/>
          <w:sz w:val="24"/>
          <w:szCs w:val="24"/>
        </w:rPr>
        <w:t>Medical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supplies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account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for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less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5% of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consumption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the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plastics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industry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14A3D">
        <w:rPr>
          <w:rFonts w:ascii="Tahoma" w:hAnsi="Tahoma" w:cs="Tahoma"/>
          <w:sz w:val="24"/>
          <w:szCs w:val="24"/>
        </w:rPr>
        <w:t>Claiming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that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prices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are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going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up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because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D14A3D">
        <w:rPr>
          <w:rFonts w:ascii="Tahoma" w:hAnsi="Tahoma" w:cs="Tahoma"/>
          <w:sz w:val="24"/>
          <w:szCs w:val="24"/>
        </w:rPr>
        <w:t>medical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supplies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does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not fit in </w:t>
      </w:r>
      <w:proofErr w:type="spellStart"/>
      <w:r w:rsidRPr="00D14A3D">
        <w:rPr>
          <w:rFonts w:ascii="Tahoma" w:hAnsi="Tahoma" w:cs="Tahoma"/>
          <w:sz w:val="24"/>
          <w:szCs w:val="24"/>
        </w:rPr>
        <w:t>with</w:t>
      </w:r>
      <w:proofErr w:type="spellEnd"/>
      <w:r w:rsidRPr="00D14A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14A3D">
        <w:rPr>
          <w:rFonts w:ascii="Tahoma" w:hAnsi="Tahoma" w:cs="Tahoma"/>
          <w:sz w:val="24"/>
          <w:szCs w:val="24"/>
        </w:rPr>
        <w:t>reality</w:t>
      </w:r>
      <w:proofErr w:type="spellEnd"/>
      <w:r w:rsidRPr="00D14A3D">
        <w:rPr>
          <w:rFonts w:ascii="Tahoma" w:hAnsi="Tahoma" w:cs="Tahoma"/>
          <w:sz w:val="24"/>
          <w:szCs w:val="24"/>
        </w:rPr>
        <w:t>.</w:t>
      </w:r>
    </w:p>
    <w:p w:rsidR="00D05AFD" w:rsidRDefault="00D05AFD" w:rsidP="00D05AFD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a </w:t>
      </w:r>
      <w:proofErr w:type="spellStart"/>
      <w:r>
        <w:rPr>
          <w:rFonts w:ascii="Tahoma" w:hAnsi="Tahoma" w:cs="Tahoma"/>
        </w:rPr>
        <w:t>conclusion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look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fair</w:t>
      </w:r>
      <w:proofErr w:type="spellEnd"/>
      <w:r>
        <w:rPr>
          <w:rFonts w:ascii="Tahoma" w:hAnsi="Tahoma" w:cs="Tahoma"/>
        </w:rPr>
        <w:t xml:space="preserve"> market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both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petrochemical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companies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plastics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manufacturers</w:t>
      </w:r>
      <w:proofErr w:type="spellEnd"/>
      <w:r>
        <w:rPr>
          <w:rFonts w:ascii="Tahoma" w:hAnsi="Tahoma" w:cs="Tahoma"/>
        </w:rPr>
        <w:t xml:space="preserve">. As </w:t>
      </w:r>
      <w:proofErr w:type="spellStart"/>
      <w:r>
        <w:rPr>
          <w:rFonts w:ascii="Tahoma" w:hAnsi="Tahoma" w:cs="Tahoma"/>
        </w:rPr>
        <w:t>manufacturers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using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purchasing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power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balance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market </w:t>
      </w:r>
      <w:proofErr w:type="spellStart"/>
      <w:r>
        <w:rPr>
          <w:rFonts w:ascii="Tahoma" w:hAnsi="Tahoma" w:cs="Tahoma"/>
        </w:rPr>
        <w:t>that</w:t>
      </w:r>
      <w:proofErr w:type="spellEnd"/>
      <w:r>
        <w:rPr>
          <w:rFonts w:ascii="Tahoma" w:hAnsi="Tahoma" w:cs="Tahoma"/>
        </w:rPr>
        <w:t xml:space="preserve"> has </w:t>
      </w:r>
      <w:proofErr w:type="spellStart"/>
      <w:r>
        <w:rPr>
          <w:rFonts w:ascii="Tahoma" w:hAnsi="Tahoma" w:cs="Tahoma"/>
        </w:rPr>
        <w:t>become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unbalanced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shutdowns</w:t>
      </w:r>
      <w:proofErr w:type="spellEnd"/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petrochemical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companies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boycott</w:t>
      </w:r>
      <w:proofErr w:type="spellEnd"/>
      <w:r>
        <w:rPr>
          <w:rFonts w:ascii="Tahoma" w:hAnsi="Tahoma" w:cs="Tahoma"/>
        </w:rPr>
        <w:t xml:space="preserve"> . But it is </w:t>
      </w:r>
      <w:proofErr w:type="spellStart"/>
      <w:r>
        <w:rPr>
          <w:rFonts w:ascii="Tahoma" w:hAnsi="Tahoma" w:cs="Tahoma"/>
        </w:rPr>
        <w:t>also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obvious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under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conditions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that</w:t>
      </w:r>
      <w:proofErr w:type="spellEnd"/>
      <w:r>
        <w:rPr>
          <w:rFonts w:ascii="Tahoma" w:hAnsi="Tahoma" w:cs="Tahoma"/>
        </w:rPr>
        <w:t xml:space="preserve"> market </w:t>
      </w:r>
      <w:proofErr w:type="spellStart"/>
      <w:r>
        <w:rPr>
          <w:rFonts w:ascii="Tahoma" w:hAnsi="Tahoma" w:cs="Tahoma"/>
        </w:rPr>
        <w:t>regulation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control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authorities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should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waste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more</w:t>
      </w:r>
      <w:proofErr w:type="spellEnd"/>
      <w:r>
        <w:rPr>
          <w:rFonts w:ascii="Tahoma" w:hAnsi="Tahoma" w:cs="Tahoma"/>
        </w:rPr>
        <w:t xml:space="preserve"> time </w:t>
      </w:r>
      <w:proofErr w:type="spellStart"/>
      <w:r>
        <w:rPr>
          <w:rFonts w:ascii="Tahoma" w:hAnsi="Tahoma" w:cs="Tahoma"/>
        </w:rPr>
        <w:t>checking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situation</w:t>
      </w:r>
      <w:proofErr w:type="spellEnd"/>
      <w:r>
        <w:rPr>
          <w:rFonts w:ascii="Tahoma" w:hAnsi="Tahoma" w:cs="Tahoma"/>
        </w:rPr>
        <w:t>.</w:t>
      </w:r>
    </w:p>
    <w:p w:rsidR="00D14A3D" w:rsidRPr="00D14A3D" w:rsidRDefault="00D14A3D" w:rsidP="000924DC">
      <w:pPr>
        <w:pStyle w:val="NormalWeb"/>
        <w:rPr>
          <w:rFonts w:ascii="Tahoma" w:hAnsi="Tahoma" w:cs="Tahoma"/>
        </w:rPr>
      </w:pPr>
      <w:bookmarkStart w:id="0" w:name="_GoBack"/>
      <w:bookmarkEnd w:id="0"/>
      <w:proofErr w:type="spellStart"/>
      <w:r w:rsidRPr="00D14A3D">
        <w:rPr>
          <w:rStyle w:val="Gl"/>
          <w:rFonts w:ascii="Tahoma" w:hAnsi="Tahoma" w:cs="Tahoma"/>
        </w:rPr>
        <w:lastRenderedPageBreak/>
        <w:t>Contact</w:t>
      </w:r>
      <w:proofErr w:type="spellEnd"/>
      <w:r w:rsidRPr="00D14A3D">
        <w:rPr>
          <w:rStyle w:val="Gl"/>
          <w:rFonts w:ascii="Tahoma" w:hAnsi="Tahoma" w:cs="Tahoma"/>
        </w:rPr>
        <w:t xml:space="preserve">: PAGEV </w:t>
      </w:r>
      <w:proofErr w:type="spellStart"/>
      <w:r w:rsidRPr="00D14A3D">
        <w:rPr>
          <w:rStyle w:val="Gl"/>
          <w:rFonts w:ascii="Tahoma" w:hAnsi="Tahoma" w:cs="Tahoma"/>
        </w:rPr>
        <w:t>Corporate</w:t>
      </w:r>
      <w:proofErr w:type="spellEnd"/>
      <w:r w:rsidRPr="00D14A3D">
        <w:rPr>
          <w:rStyle w:val="Gl"/>
          <w:rFonts w:ascii="Tahoma" w:hAnsi="Tahoma" w:cs="Tahoma"/>
        </w:rPr>
        <w:t xml:space="preserve"> </w:t>
      </w:r>
      <w:proofErr w:type="spellStart"/>
      <w:r w:rsidRPr="00D14A3D">
        <w:rPr>
          <w:rStyle w:val="Gl"/>
          <w:rFonts w:ascii="Tahoma" w:hAnsi="Tahoma" w:cs="Tahoma"/>
        </w:rPr>
        <w:t>Communication</w:t>
      </w:r>
      <w:proofErr w:type="spellEnd"/>
      <w:r w:rsidRPr="00D14A3D">
        <w:rPr>
          <w:rStyle w:val="Gl"/>
          <w:rFonts w:ascii="Tahoma" w:hAnsi="Tahoma" w:cs="Tahoma"/>
        </w:rPr>
        <w:t xml:space="preserve"> </w:t>
      </w:r>
      <w:proofErr w:type="spellStart"/>
      <w:r w:rsidRPr="00D14A3D">
        <w:rPr>
          <w:rStyle w:val="Gl"/>
          <w:rFonts w:ascii="Tahoma" w:hAnsi="Tahoma" w:cs="Tahoma"/>
        </w:rPr>
        <w:t>Director</w:t>
      </w:r>
      <w:proofErr w:type="spellEnd"/>
      <w:r w:rsidRPr="00D14A3D">
        <w:rPr>
          <w:rStyle w:val="Gl"/>
          <w:rFonts w:ascii="Tahoma" w:hAnsi="Tahoma" w:cs="Tahoma"/>
        </w:rPr>
        <w:t xml:space="preserve"> </w:t>
      </w:r>
      <w:r w:rsidR="000924DC">
        <w:rPr>
          <w:rStyle w:val="Gl"/>
          <w:rFonts w:ascii="Tahoma" w:hAnsi="Tahoma" w:cs="Tahoma"/>
        </w:rPr>
        <w:br/>
      </w:r>
      <w:r w:rsidRPr="00D14A3D">
        <w:rPr>
          <w:rStyle w:val="Gl"/>
          <w:rFonts w:ascii="Tahoma" w:hAnsi="Tahoma" w:cs="Tahoma"/>
        </w:rPr>
        <w:t>Cesur Çaça </w:t>
      </w:r>
      <w:hyperlink r:id="rId8" w:history="1">
        <w:r w:rsidRPr="00D14A3D">
          <w:rPr>
            <w:rStyle w:val="Kpr"/>
            <w:rFonts w:ascii="Tahoma" w:hAnsi="Tahoma" w:cs="Tahoma"/>
            <w:b/>
            <w:bCs/>
          </w:rPr>
          <w:t>cesur.caca@pagev.org.tr</w:t>
        </w:r>
      </w:hyperlink>
    </w:p>
    <w:p w:rsidR="000924DC" w:rsidRDefault="000924DC" w:rsidP="00D14A3D">
      <w:pPr>
        <w:pStyle w:val="NormalWeb"/>
        <w:jc w:val="both"/>
        <w:rPr>
          <w:rStyle w:val="Gl"/>
          <w:rFonts w:ascii="Tahoma" w:hAnsi="Tahoma" w:cs="Tahoma"/>
          <w:i/>
          <w:iCs/>
        </w:rPr>
      </w:pPr>
      <w:r>
        <w:rPr>
          <w:rStyle w:val="Gl"/>
          <w:rFonts w:ascii="Tahoma" w:hAnsi="Tahoma" w:cs="Tahoma"/>
          <w:i/>
          <w:iCs/>
        </w:rPr>
        <w:t>-----------------------------------------------------------------------------------------</w:t>
      </w:r>
    </w:p>
    <w:p w:rsidR="00D14A3D" w:rsidRPr="00D14A3D" w:rsidRDefault="00D14A3D" w:rsidP="00D14A3D">
      <w:pPr>
        <w:pStyle w:val="NormalWeb"/>
        <w:jc w:val="both"/>
        <w:rPr>
          <w:rFonts w:ascii="Tahoma" w:hAnsi="Tahoma" w:cs="Tahoma"/>
        </w:rPr>
      </w:pPr>
      <w:r w:rsidRPr="00D14A3D">
        <w:rPr>
          <w:rStyle w:val="Gl"/>
          <w:rFonts w:ascii="Tahoma" w:hAnsi="Tahoma" w:cs="Tahoma"/>
          <w:i/>
          <w:iCs/>
        </w:rPr>
        <w:t>ABOUT PAGEV</w:t>
      </w:r>
    </w:p>
    <w:p w:rsidR="00D14A3D" w:rsidRPr="00D14A3D" w:rsidRDefault="00D14A3D" w:rsidP="00D14A3D">
      <w:pPr>
        <w:pStyle w:val="NormalWeb"/>
        <w:jc w:val="both"/>
        <w:rPr>
          <w:rFonts w:ascii="Tahoma" w:hAnsi="Tahoma" w:cs="Tahoma"/>
        </w:rPr>
      </w:pPr>
      <w:r w:rsidRPr="00D14A3D">
        <w:rPr>
          <w:rStyle w:val="Vurgu"/>
          <w:rFonts w:ascii="Tahoma" w:hAnsi="Tahoma" w:cs="Tahoma"/>
        </w:rPr>
        <w:t xml:space="preserve">PAGEV is </w:t>
      </w:r>
      <w:proofErr w:type="spellStart"/>
      <w:r w:rsidRPr="00D14A3D">
        <w:rPr>
          <w:rStyle w:val="Vurgu"/>
          <w:rFonts w:ascii="Tahoma" w:hAnsi="Tahoma" w:cs="Tahoma"/>
        </w:rPr>
        <w:t>one</w:t>
      </w:r>
      <w:proofErr w:type="spellEnd"/>
      <w:r w:rsidRPr="00D14A3D">
        <w:rPr>
          <w:rStyle w:val="Vurgu"/>
          <w:rFonts w:ascii="Tahoma" w:hAnsi="Tahoma" w:cs="Tahoma"/>
        </w:rPr>
        <w:t xml:space="preserve"> of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leading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nongovernmental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organizations</w:t>
      </w:r>
      <w:proofErr w:type="spellEnd"/>
      <w:r w:rsidRPr="00D14A3D">
        <w:rPr>
          <w:rStyle w:val="Vurgu"/>
          <w:rFonts w:ascii="Tahoma" w:hAnsi="Tahoma" w:cs="Tahoma"/>
        </w:rPr>
        <w:t xml:space="preserve"> in Turkey </w:t>
      </w:r>
      <w:proofErr w:type="spellStart"/>
      <w:r w:rsidRPr="00D14A3D">
        <w:rPr>
          <w:rStyle w:val="Vurgu"/>
          <w:rFonts w:ascii="Tahoma" w:hAnsi="Tahoma" w:cs="Tahoma"/>
        </w:rPr>
        <w:t>focusing</w:t>
      </w:r>
      <w:proofErr w:type="spellEnd"/>
      <w:r w:rsidRPr="00D14A3D">
        <w:rPr>
          <w:rStyle w:val="Vurgu"/>
          <w:rFonts w:ascii="Tahoma" w:hAnsi="Tahoma" w:cs="Tahoma"/>
        </w:rPr>
        <w:t xml:space="preserve"> on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Plastics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Industry</w:t>
      </w:r>
      <w:proofErr w:type="spellEnd"/>
      <w:r w:rsidRPr="00D14A3D">
        <w:rPr>
          <w:rStyle w:val="Vurgu"/>
          <w:rFonts w:ascii="Tahoma" w:hAnsi="Tahoma" w:cs="Tahoma"/>
        </w:rPr>
        <w:t xml:space="preserve">. PAGEV is </w:t>
      </w:r>
      <w:proofErr w:type="spellStart"/>
      <w:r w:rsidRPr="00D14A3D">
        <w:rPr>
          <w:rStyle w:val="Vurgu"/>
          <w:rFonts w:ascii="Tahoma" w:hAnsi="Tahoma" w:cs="Tahoma"/>
        </w:rPr>
        <w:t>composed</w:t>
      </w:r>
      <w:proofErr w:type="spellEnd"/>
      <w:r w:rsidRPr="00D14A3D">
        <w:rPr>
          <w:rStyle w:val="Vurgu"/>
          <w:rFonts w:ascii="Tahoma" w:hAnsi="Tahoma" w:cs="Tahoma"/>
        </w:rPr>
        <w:t xml:space="preserve"> of </w:t>
      </w:r>
      <w:proofErr w:type="spellStart"/>
      <w:r w:rsidRPr="00D14A3D">
        <w:rPr>
          <w:rStyle w:val="Vurgu"/>
          <w:rFonts w:ascii="Tahoma" w:hAnsi="Tahoma" w:cs="Tahoma"/>
        </w:rPr>
        <w:t>over</w:t>
      </w:r>
      <w:proofErr w:type="spellEnd"/>
      <w:r w:rsidRPr="00D14A3D">
        <w:rPr>
          <w:rStyle w:val="Vurgu"/>
          <w:rFonts w:ascii="Tahoma" w:hAnsi="Tahoma" w:cs="Tahoma"/>
        </w:rPr>
        <w:t xml:space="preserve"> 800 </w:t>
      </w:r>
      <w:proofErr w:type="spellStart"/>
      <w:r w:rsidRPr="00D14A3D">
        <w:rPr>
          <w:rStyle w:val="Vurgu"/>
          <w:rFonts w:ascii="Tahoma" w:hAnsi="Tahoma" w:cs="Tahoma"/>
        </w:rPr>
        <w:t>trustees</w:t>
      </w:r>
      <w:proofErr w:type="spellEnd"/>
      <w:r w:rsidRPr="00D14A3D">
        <w:rPr>
          <w:rStyle w:val="Vurgu"/>
          <w:rFonts w:ascii="Tahoma" w:hAnsi="Tahoma" w:cs="Tahoma"/>
        </w:rPr>
        <w:t xml:space="preserve"> and </w:t>
      </w:r>
      <w:proofErr w:type="spellStart"/>
      <w:r w:rsidRPr="00D14A3D">
        <w:rPr>
          <w:rStyle w:val="Vurgu"/>
          <w:rFonts w:ascii="Tahoma" w:hAnsi="Tahoma" w:cs="Tahoma"/>
        </w:rPr>
        <w:t>relevant</w:t>
      </w:r>
      <w:proofErr w:type="spellEnd"/>
      <w:r w:rsidRPr="00D14A3D">
        <w:rPr>
          <w:rStyle w:val="Vurgu"/>
          <w:rFonts w:ascii="Tahoma" w:hAnsi="Tahoma" w:cs="Tahoma"/>
        </w:rPr>
        <w:t xml:space="preserve"> 1750 </w:t>
      </w:r>
      <w:proofErr w:type="spellStart"/>
      <w:r w:rsidRPr="00D14A3D">
        <w:rPr>
          <w:rStyle w:val="Vurgu"/>
          <w:rFonts w:ascii="Tahoma" w:hAnsi="Tahoma" w:cs="Tahoma"/>
        </w:rPr>
        <w:t>member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companies</w:t>
      </w:r>
      <w:proofErr w:type="spellEnd"/>
      <w:r w:rsidRPr="00D14A3D">
        <w:rPr>
          <w:rStyle w:val="Vurgu"/>
          <w:rFonts w:ascii="Tahoma" w:hAnsi="Tahoma" w:cs="Tahoma"/>
        </w:rPr>
        <w:t> </w:t>
      </w:r>
      <w:proofErr w:type="spellStart"/>
      <w:r w:rsidRPr="00D14A3D">
        <w:rPr>
          <w:rStyle w:val="Vurgu"/>
          <w:rFonts w:ascii="Tahoma" w:hAnsi="Tahoma" w:cs="Tahoma"/>
        </w:rPr>
        <w:t>that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account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for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more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than</w:t>
      </w:r>
      <w:proofErr w:type="spellEnd"/>
      <w:r w:rsidRPr="00D14A3D">
        <w:rPr>
          <w:rStyle w:val="Vurgu"/>
          <w:rFonts w:ascii="Tahoma" w:hAnsi="Tahoma" w:cs="Tahoma"/>
        </w:rPr>
        <w:t xml:space="preserve"> 88% of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plastics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value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chain</w:t>
      </w:r>
      <w:proofErr w:type="spellEnd"/>
      <w:r w:rsidRPr="00D14A3D">
        <w:rPr>
          <w:rStyle w:val="Vurgu"/>
          <w:rFonts w:ascii="Tahoma" w:hAnsi="Tahoma" w:cs="Tahoma"/>
        </w:rPr>
        <w:t xml:space="preserve"> in Turkey.</w:t>
      </w:r>
    </w:p>
    <w:p w:rsidR="00D14A3D" w:rsidRPr="00D14A3D" w:rsidRDefault="00D14A3D" w:rsidP="00D14A3D">
      <w:pPr>
        <w:pStyle w:val="NormalWeb"/>
        <w:jc w:val="both"/>
        <w:rPr>
          <w:rFonts w:ascii="Tahoma" w:hAnsi="Tahoma" w:cs="Tahoma"/>
        </w:rPr>
      </w:pP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Turkey </w:t>
      </w:r>
      <w:proofErr w:type="spellStart"/>
      <w:r w:rsidRPr="00D14A3D">
        <w:rPr>
          <w:rStyle w:val="Vurgu"/>
          <w:rFonts w:ascii="Tahoma" w:hAnsi="Tahoma" w:cs="Tahoma"/>
        </w:rPr>
        <w:t>plastics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industry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makes</w:t>
      </w:r>
      <w:proofErr w:type="spellEnd"/>
      <w:r w:rsidRPr="00D14A3D">
        <w:rPr>
          <w:rStyle w:val="Vurgu"/>
          <w:rFonts w:ascii="Tahoma" w:hAnsi="Tahoma" w:cs="Tahoma"/>
        </w:rPr>
        <w:t xml:space="preserve"> a </w:t>
      </w:r>
      <w:proofErr w:type="spellStart"/>
      <w:r w:rsidRPr="00D14A3D">
        <w:rPr>
          <w:rStyle w:val="Vurgu"/>
          <w:rFonts w:ascii="Tahoma" w:hAnsi="Tahoma" w:cs="Tahoma"/>
        </w:rPr>
        <w:t>significant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contribution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to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welfare</w:t>
      </w:r>
      <w:proofErr w:type="spellEnd"/>
      <w:r w:rsidRPr="00D14A3D">
        <w:rPr>
          <w:rStyle w:val="Vurgu"/>
          <w:rFonts w:ascii="Tahoma" w:hAnsi="Tahoma" w:cs="Tahoma"/>
        </w:rPr>
        <w:t xml:space="preserve"> in Turkey </w:t>
      </w:r>
      <w:proofErr w:type="spellStart"/>
      <w:r w:rsidRPr="00D14A3D">
        <w:rPr>
          <w:rStyle w:val="Vurgu"/>
          <w:rFonts w:ascii="Tahoma" w:hAnsi="Tahoma" w:cs="Tahoma"/>
        </w:rPr>
        <w:t>by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enabling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innovation</w:t>
      </w:r>
      <w:proofErr w:type="spellEnd"/>
      <w:r w:rsidRPr="00D14A3D">
        <w:rPr>
          <w:rStyle w:val="Vurgu"/>
          <w:rFonts w:ascii="Tahoma" w:hAnsi="Tahoma" w:cs="Tahoma"/>
        </w:rPr>
        <w:t xml:space="preserve">, </w:t>
      </w:r>
      <w:proofErr w:type="spellStart"/>
      <w:r w:rsidRPr="00D14A3D">
        <w:rPr>
          <w:rStyle w:val="Vurgu"/>
          <w:rFonts w:ascii="Tahoma" w:hAnsi="Tahoma" w:cs="Tahoma"/>
        </w:rPr>
        <w:t>creating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quality</w:t>
      </w:r>
      <w:proofErr w:type="spellEnd"/>
      <w:r w:rsidRPr="00D14A3D">
        <w:rPr>
          <w:rStyle w:val="Vurgu"/>
          <w:rFonts w:ascii="Tahoma" w:hAnsi="Tahoma" w:cs="Tahoma"/>
        </w:rPr>
        <w:t xml:space="preserve"> of life </w:t>
      </w:r>
      <w:proofErr w:type="spellStart"/>
      <w:r w:rsidRPr="00D14A3D">
        <w:rPr>
          <w:rStyle w:val="Vurgu"/>
          <w:rFonts w:ascii="Tahoma" w:hAnsi="Tahoma" w:cs="Tahoma"/>
        </w:rPr>
        <w:t>to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citizens</w:t>
      </w:r>
      <w:proofErr w:type="spellEnd"/>
      <w:r w:rsidRPr="00D14A3D">
        <w:rPr>
          <w:rStyle w:val="Vurgu"/>
          <w:rFonts w:ascii="Tahoma" w:hAnsi="Tahoma" w:cs="Tahoma"/>
        </w:rPr>
        <w:t xml:space="preserve"> and </w:t>
      </w:r>
      <w:proofErr w:type="spellStart"/>
      <w:r w:rsidRPr="00D14A3D">
        <w:rPr>
          <w:rStyle w:val="Vurgu"/>
          <w:rFonts w:ascii="Tahoma" w:hAnsi="Tahoma" w:cs="Tahoma"/>
        </w:rPr>
        <w:t>facilitating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resource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efficiency</w:t>
      </w:r>
      <w:proofErr w:type="spellEnd"/>
      <w:r w:rsidRPr="00D14A3D">
        <w:rPr>
          <w:rStyle w:val="Vurgu"/>
          <w:rFonts w:ascii="Tahoma" w:hAnsi="Tahoma" w:cs="Tahoma"/>
        </w:rPr>
        <w:t xml:space="preserve"> and </w:t>
      </w:r>
      <w:proofErr w:type="spellStart"/>
      <w:r w:rsidRPr="00D14A3D">
        <w:rPr>
          <w:rStyle w:val="Vurgu"/>
          <w:rFonts w:ascii="Tahoma" w:hAnsi="Tahoma" w:cs="Tahoma"/>
        </w:rPr>
        <w:t>climate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protection</w:t>
      </w:r>
      <w:proofErr w:type="spellEnd"/>
      <w:r w:rsidRPr="00D14A3D">
        <w:rPr>
          <w:rStyle w:val="Vurgu"/>
          <w:rFonts w:ascii="Tahoma" w:hAnsi="Tahoma" w:cs="Tahoma"/>
        </w:rPr>
        <w:t xml:space="preserve">. </w:t>
      </w:r>
      <w:proofErr w:type="spellStart"/>
      <w:r w:rsidRPr="00D14A3D">
        <w:rPr>
          <w:rStyle w:val="Vurgu"/>
          <w:rFonts w:ascii="Tahoma" w:hAnsi="Tahoma" w:cs="Tahoma"/>
        </w:rPr>
        <w:t>More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than</w:t>
      </w:r>
      <w:proofErr w:type="spellEnd"/>
      <w:r w:rsidRPr="00D14A3D">
        <w:rPr>
          <w:rStyle w:val="Vurgu"/>
          <w:rFonts w:ascii="Tahoma" w:hAnsi="Tahoma" w:cs="Tahoma"/>
        </w:rPr>
        <w:t xml:space="preserve"> 300 </w:t>
      </w:r>
      <w:proofErr w:type="spellStart"/>
      <w:r w:rsidRPr="00D14A3D">
        <w:rPr>
          <w:rStyle w:val="Vurgu"/>
          <w:rFonts w:ascii="Tahoma" w:hAnsi="Tahoma" w:cs="Tahoma"/>
        </w:rPr>
        <w:t>thousand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people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are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working</w:t>
      </w:r>
      <w:proofErr w:type="spellEnd"/>
      <w:r w:rsidRPr="00D14A3D">
        <w:rPr>
          <w:rStyle w:val="Vurgu"/>
          <w:rFonts w:ascii="Tahoma" w:hAnsi="Tahoma" w:cs="Tahoma"/>
        </w:rPr>
        <w:t xml:space="preserve"> in </w:t>
      </w:r>
      <w:proofErr w:type="spellStart"/>
      <w:r w:rsidRPr="00D14A3D">
        <w:rPr>
          <w:rStyle w:val="Vurgu"/>
          <w:rFonts w:ascii="Tahoma" w:hAnsi="Tahoma" w:cs="Tahoma"/>
        </w:rPr>
        <w:t>about</w:t>
      </w:r>
      <w:proofErr w:type="spellEnd"/>
      <w:r w:rsidRPr="00D14A3D">
        <w:rPr>
          <w:rStyle w:val="Vurgu"/>
          <w:rFonts w:ascii="Tahoma" w:hAnsi="Tahoma" w:cs="Tahoma"/>
        </w:rPr>
        <w:t xml:space="preserve"> 11,000 </w:t>
      </w:r>
      <w:proofErr w:type="spellStart"/>
      <w:r w:rsidRPr="00D14A3D">
        <w:rPr>
          <w:rStyle w:val="Vurgu"/>
          <w:rFonts w:ascii="Tahoma" w:hAnsi="Tahoma" w:cs="Tahoma"/>
        </w:rPr>
        <w:t>companies</w:t>
      </w:r>
      <w:proofErr w:type="spellEnd"/>
      <w:r w:rsidRPr="00D14A3D">
        <w:rPr>
          <w:rStyle w:val="Vurgu"/>
          <w:rFonts w:ascii="Tahoma" w:hAnsi="Tahoma" w:cs="Tahoma"/>
        </w:rPr>
        <w:t xml:space="preserve"> (</w:t>
      </w:r>
      <w:proofErr w:type="spellStart"/>
      <w:r w:rsidRPr="00D14A3D">
        <w:rPr>
          <w:rStyle w:val="Vurgu"/>
          <w:rFonts w:ascii="Tahoma" w:hAnsi="Tahoma" w:cs="Tahoma"/>
        </w:rPr>
        <w:t>mainly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small</w:t>
      </w:r>
      <w:proofErr w:type="spellEnd"/>
      <w:r w:rsidRPr="00D14A3D">
        <w:rPr>
          <w:rStyle w:val="Vurgu"/>
          <w:rFonts w:ascii="Tahoma" w:hAnsi="Tahoma" w:cs="Tahoma"/>
        </w:rPr>
        <w:t xml:space="preserve"> and </w:t>
      </w:r>
      <w:proofErr w:type="spellStart"/>
      <w:r w:rsidRPr="00D14A3D">
        <w:rPr>
          <w:rStyle w:val="Vurgu"/>
          <w:rFonts w:ascii="Tahoma" w:hAnsi="Tahoma" w:cs="Tahoma"/>
        </w:rPr>
        <w:t>medium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sized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companies</w:t>
      </w:r>
      <w:proofErr w:type="spellEnd"/>
      <w:r w:rsidRPr="00D14A3D">
        <w:rPr>
          <w:rStyle w:val="Vurgu"/>
          <w:rFonts w:ascii="Tahoma" w:hAnsi="Tahoma" w:cs="Tahoma"/>
        </w:rPr>
        <w:t xml:space="preserve"> in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plastic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sector</w:t>
      </w:r>
      <w:proofErr w:type="spellEnd"/>
      <w:r w:rsidRPr="00D14A3D">
        <w:rPr>
          <w:rStyle w:val="Vurgu"/>
          <w:rFonts w:ascii="Tahoma" w:hAnsi="Tahoma" w:cs="Tahoma"/>
        </w:rPr>
        <w:t xml:space="preserve">) </w:t>
      </w:r>
      <w:proofErr w:type="spellStart"/>
      <w:r w:rsidRPr="00D14A3D">
        <w:rPr>
          <w:rStyle w:val="Vurgu"/>
          <w:rFonts w:ascii="Tahoma" w:hAnsi="Tahoma" w:cs="Tahoma"/>
        </w:rPr>
        <w:t>to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create</w:t>
      </w:r>
      <w:proofErr w:type="spellEnd"/>
      <w:r w:rsidRPr="00D14A3D">
        <w:rPr>
          <w:rStyle w:val="Vurgu"/>
          <w:rFonts w:ascii="Tahoma" w:hAnsi="Tahoma" w:cs="Tahoma"/>
        </w:rPr>
        <w:t xml:space="preserve"> a </w:t>
      </w:r>
      <w:proofErr w:type="spellStart"/>
      <w:r w:rsidRPr="00D14A3D">
        <w:rPr>
          <w:rStyle w:val="Vurgu"/>
          <w:rFonts w:ascii="Tahoma" w:hAnsi="Tahoma" w:cs="Tahoma"/>
        </w:rPr>
        <w:t>turnover</w:t>
      </w:r>
      <w:proofErr w:type="spellEnd"/>
      <w:r w:rsidRPr="00D14A3D">
        <w:rPr>
          <w:rStyle w:val="Vurgu"/>
          <w:rFonts w:ascii="Tahoma" w:hAnsi="Tahoma" w:cs="Tahoma"/>
        </w:rPr>
        <w:t xml:space="preserve"> in </w:t>
      </w:r>
      <w:proofErr w:type="spellStart"/>
      <w:r w:rsidRPr="00D14A3D">
        <w:rPr>
          <w:rStyle w:val="Vurgu"/>
          <w:rFonts w:ascii="Tahoma" w:hAnsi="Tahoma" w:cs="Tahoma"/>
        </w:rPr>
        <w:t>excess</w:t>
      </w:r>
      <w:proofErr w:type="spellEnd"/>
      <w:r w:rsidRPr="00D14A3D">
        <w:rPr>
          <w:rStyle w:val="Vurgu"/>
          <w:rFonts w:ascii="Tahoma" w:hAnsi="Tahoma" w:cs="Tahoma"/>
        </w:rPr>
        <w:t xml:space="preserve"> of 34 </w:t>
      </w:r>
      <w:proofErr w:type="spellStart"/>
      <w:r w:rsidRPr="00D14A3D">
        <w:rPr>
          <w:rStyle w:val="Vurgu"/>
          <w:rFonts w:ascii="Tahoma" w:hAnsi="Tahoma" w:cs="Tahoma"/>
        </w:rPr>
        <w:t>billion</w:t>
      </w:r>
      <w:proofErr w:type="spellEnd"/>
      <w:r w:rsidRPr="00D14A3D">
        <w:rPr>
          <w:rStyle w:val="Vurgu"/>
          <w:rFonts w:ascii="Tahoma" w:hAnsi="Tahoma" w:cs="Tahoma"/>
        </w:rPr>
        <w:t xml:space="preserve"> $ </w:t>
      </w:r>
      <w:proofErr w:type="spellStart"/>
      <w:r w:rsidRPr="00D14A3D">
        <w:rPr>
          <w:rStyle w:val="Vurgu"/>
          <w:rFonts w:ascii="Tahoma" w:hAnsi="Tahoma" w:cs="Tahoma"/>
        </w:rPr>
        <w:t>per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year</w:t>
      </w:r>
      <w:proofErr w:type="spellEnd"/>
      <w:r w:rsidRPr="00D14A3D">
        <w:rPr>
          <w:rStyle w:val="Vurgu"/>
          <w:rFonts w:ascii="Tahoma" w:hAnsi="Tahoma" w:cs="Tahoma"/>
        </w:rPr>
        <w:t xml:space="preserve">.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value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chain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represented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by</w:t>
      </w:r>
      <w:proofErr w:type="spellEnd"/>
      <w:r w:rsidRPr="00D14A3D">
        <w:rPr>
          <w:rStyle w:val="Vurgu"/>
          <w:rFonts w:ascii="Tahoma" w:hAnsi="Tahoma" w:cs="Tahoma"/>
        </w:rPr>
        <w:t xml:space="preserve"> PAGEV </w:t>
      </w:r>
      <w:proofErr w:type="spellStart"/>
      <w:r w:rsidRPr="00D14A3D">
        <w:rPr>
          <w:rStyle w:val="Vurgu"/>
          <w:rFonts w:ascii="Tahoma" w:hAnsi="Tahoma" w:cs="Tahoma"/>
        </w:rPr>
        <w:t>includes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polymer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manufacturers</w:t>
      </w:r>
      <w:proofErr w:type="spellEnd"/>
      <w:r w:rsidRPr="00D14A3D">
        <w:rPr>
          <w:rStyle w:val="Vurgu"/>
          <w:rFonts w:ascii="Tahoma" w:hAnsi="Tahoma" w:cs="Tahoma"/>
        </w:rPr>
        <w:t xml:space="preserve">, </w:t>
      </w:r>
      <w:proofErr w:type="spellStart"/>
      <w:r w:rsidRPr="00D14A3D">
        <w:rPr>
          <w:rStyle w:val="Vurgu"/>
          <w:rFonts w:ascii="Tahoma" w:hAnsi="Tahoma" w:cs="Tahoma"/>
        </w:rPr>
        <w:t>product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manufacturers</w:t>
      </w:r>
      <w:proofErr w:type="spellEnd"/>
      <w:r w:rsidRPr="00D14A3D">
        <w:rPr>
          <w:rStyle w:val="Vurgu"/>
          <w:rFonts w:ascii="Tahoma" w:hAnsi="Tahoma" w:cs="Tahoma"/>
        </w:rPr>
        <w:t xml:space="preserve">, </w:t>
      </w:r>
      <w:proofErr w:type="spellStart"/>
      <w:r w:rsidRPr="00D14A3D">
        <w:rPr>
          <w:rStyle w:val="Vurgu"/>
          <w:rFonts w:ascii="Tahoma" w:hAnsi="Tahoma" w:cs="Tahoma"/>
        </w:rPr>
        <w:t>equipment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builders</w:t>
      </w:r>
      <w:proofErr w:type="spellEnd"/>
      <w:r w:rsidRPr="00D14A3D">
        <w:rPr>
          <w:rStyle w:val="Vurgu"/>
          <w:rFonts w:ascii="Tahoma" w:hAnsi="Tahoma" w:cs="Tahoma"/>
        </w:rPr>
        <w:t xml:space="preserve"> and </w:t>
      </w:r>
      <w:proofErr w:type="spellStart"/>
      <w:r w:rsidRPr="00D14A3D">
        <w:rPr>
          <w:rStyle w:val="Vurgu"/>
          <w:rFonts w:ascii="Tahoma" w:hAnsi="Tahoma" w:cs="Tahoma"/>
        </w:rPr>
        <w:t>casting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companies</w:t>
      </w:r>
      <w:proofErr w:type="spellEnd"/>
      <w:r w:rsidRPr="00D14A3D">
        <w:rPr>
          <w:rStyle w:val="Vurgu"/>
          <w:rFonts w:ascii="Tahoma" w:hAnsi="Tahoma" w:cs="Tahoma"/>
        </w:rPr>
        <w:t>.</w:t>
      </w:r>
    </w:p>
    <w:p w:rsidR="00D14A3D" w:rsidRPr="00D14A3D" w:rsidRDefault="00D14A3D" w:rsidP="00D14A3D">
      <w:pPr>
        <w:pStyle w:val="NormalWeb"/>
        <w:jc w:val="both"/>
        <w:rPr>
          <w:rFonts w:ascii="Tahoma" w:hAnsi="Tahoma" w:cs="Tahoma"/>
        </w:rPr>
      </w:pPr>
      <w:proofErr w:type="spellStart"/>
      <w:r w:rsidRPr="00D14A3D">
        <w:rPr>
          <w:rStyle w:val="Vurgu"/>
          <w:rFonts w:ascii="Tahoma" w:hAnsi="Tahoma" w:cs="Tahoma"/>
        </w:rPr>
        <w:t>PlastEurasia</w:t>
      </w:r>
      <w:proofErr w:type="spellEnd"/>
      <w:r w:rsidRPr="00D14A3D">
        <w:rPr>
          <w:rStyle w:val="Vurgu"/>
          <w:rFonts w:ascii="Tahoma" w:hAnsi="Tahoma" w:cs="Tahoma"/>
        </w:rPr>
        <w:t xml:space="preserve"> Istanbul,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largest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annual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international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plastics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industry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fair</w:t>
      </w:r>
      <w:proofErr w:type="spellEnd"/>
      <w:r w:rsidRPr="00D14A3D">
        <w:rPr>
          <w:rStyle w:val="Vurgu"/>
          <w:rFonts w:ascii="Tahoma" w:hAnsi="Tahoma" w:cs="Tahoma"/>
        </w:rPr>
        <w:t xml:space="preserve"> in Turkey and </w:t>
      </w:r>
      <w:proofErr w:type="spellStart"/>
      <w:r w:rsidRPr="00D14A3D">
        <w:rPr>
          <w:rStyle w:val="Vurgu"/>
          <w:rFonts w:ascii="Tahoma" w:hAnsi="Tahoma" w:cs="Tahoma"/>
        </w:rPr>
        <w:t>Eurasia</w:t>
      </w:r>
      <w:proofErr w:type="spellEnd"/>
      <w:r w:rsidRPr="00D14A3D">
        <w:rPr>
          <w:rStyle w:val="Vurgu"/>
          <w:rFonts w:ascii="Tahoma" w:hAnsi="Tahoma" w:cs="Tahoma"/>
        </w:rPr>
        <w:t xml:space="preserve">, and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second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largest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event</w:t>
      </w:r>
      <w:proofErr w:type="spellEnd"/>
      <w:r w:rsidRPr="00D14A3D">
        <w:rPr>
          <w:rStyle w:val="Vurgu"/>
          <w:rFonts w:ascii="Tahoma" w:hAnsi="Tahoma" w:cs="Tahoma"/>
        </w:rPr>
        <w:t xml:space="preserve"> of </w:t>
      </w:r>
      <w:proofErr w:type="spellStart"/>
      <w:r w:rsidRPr="00D14A3D">
        <w:rPr>
          <w:rStyle w:val="Vurgu"/>
          <w:rFonts w:ascii="Tahoma" w:hAnsi="Tahoma" w:cs="Tahoma"/>
        </w:rPr>
        <w:t>its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kind</w:t>
      </w:r>
      <w:proofErr w:type="spellEnd"/>
      <w:r w:rsidRPr="00D14A3D">
        <w:rPr>
          <w:rStyle w:val="Vurgu"/>
          <w:rFonts w:ascii="Tahoma" w:hAnsi="Tahoma" w:cs="Tahoma"/>
        </w:rPr>
        <w:t xml:space="preserve"> in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world</w:t>
      </w:r>
      <w:proofErr w:type="spellEnd"/>
      <w:r w:rsidRPr="00D14A3D">
        <w:rPr>
          <w:rStyle w:val="Vurgu"/>
          <w:rFonts w:ascii="Tahoma" w:hAnsi="Tahoma" w:cs="Tahoma"/>
        </w:rPr>
        <w:t xml:space="preserve">, is </w:t>
      </w:r>
      <w:proofErr w:type="spellStart"/>
      <w:r w:rsidRPr="00D14A3D">
        <w:rPr>
          <w:rStyle w:val="Vurgu"/>
          <w:rFonts w:ascii="Tahoma" w:hAnsi="Tahoma" w:cs="Tahoma"/>
        </w:rPr>
        <w:t>held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with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partnership</w:t>
      </w:r>
      <w:proofErr w:type="spellEnd"/>
      <w:r w:rsidRPr="00D14A3D">
        <w:rPr>
          <w:rStyle w:val="Vurgu"/>
          <w:rFonts w:ascii="Tahoma" w:hAnsi="Tahoma" w:cs="Tahoma"/>
        </w:rPr>
        <w:t xml:space="preserve"> of PAGEV and TÜYAP </w:t>
      </w:r>
      <w:proofErr w:type="spellStart"/>
      <w:r w:rsidRPr="00D14A3D">
        <w:rPr>
          <w:rStyle w:val="Vurgu"/>
          <w:rFonts w:ascii="Tahoma" w:hAnsi="Tahoma" w:cs="Tahoma"/>
        </w:rPr>
        <w:t>Fairs</w:t>
      </w:r>
      <w:proofErr w:type="spellEnd"/>
      <w:r w:rsidRPr="00D14A3D">
        <w:rPr>
          <w:rStyle w:val="Vurgu"/>
          <w:rFonts w:ascii="Tahoma" w:hAnsi="Tahoma" w:cs="Tahoma"/>
        </w:rPr>
        <w:t>.</w:t>
      </w:r>
    </w:p>
    <w:p w:rsidR="00D14A3D" w:rsidRPr="00D14A3D" w:rsidRDefault="00D14A3D" w:rsidP="00D14A3D">
      <w:pPr>
        <w:pStyle w:val="NormalWeb"/>
        <w:jc w:val="both"/>
        <w:rPr>
          <w:rFonts w:ascii="Tahoma" w:hAnsi="Tahoma" w:cs="Tahoma"/>
        </w:rPr>
      </w:pPr>
      <w:r w:rsidRPr="00D14A3D">
        <w:rPr>
          <w:rStyle w:val="Vurgu"/>
          <w:rFonts w:ascii="Tahoma" w:hAnsi="Tahoma" w:cs="Tahoma"/>
        </w:rPr>
        <w:t xml:space="preserve">PAGEV </w:t>
      </w:r>
      <w:proofErr w:type="spellStart"/>
      <w:r w:rsidRPr="00D14A3D">
        <w:rPr>
          <w:rStyle w:val="Vurgu"/>
          <w:rFonts w:ascii="Tahoma" w:hAnsi="Tahoma" w:cs="Tahoma"/>
        </w:rPr>
        <w:t>have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built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vocational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schools</w:t>
      </w:r>
      <w:proofErr w:type="spellEnd"/>
      <w:r w:rsidRPr="00D14A3D">
        <w:rPr>
          <w:rStyle w:val="Vurgu"/>
          <w:rFonts w:ascii="Tahoma" w:hAnsi="Tahoma" w:cs="Tahoma"/>
        </w:rPr>
        <w:t xml:space="preserve"> in Turkey in </w:t>
      </w:r>
      <w:proofErr w:type="spellStart"/>
      <w:r w:rsidRPr="00D14A3D">
        <w:rPr>
          <w:rStyle w:val="Vurgu"/>
          <w:rFonts w:ascii="Tahoma" w:hAnsi="Tahoma" w:cs="Tahoma"/>
        </w:rPr>
        <w:t>pursuit</w:t>
      </w:r>
      <w:proofErr w:type="spellEnd"/>
      <w:r w:rsidRPr="00D14A3D">
        <w:rPr>
          <w:rStyle w:val="Vurgu"/>
          <w:rFonts w:ascii="Tahoma" w:hAnsi="Tahoma" w:cs="Tahoma"/>
        </w:rPr>
        <w:t xml:space="preserve"> of </w:t>
      </w:r>
      <w:proofErr w:type="spellStart"/>
      <w:r w:rsidRPr="00D14A3D">
        <w:rPr>
          <w:rStyle w:val="Vurgu"/>
          <w:rFonts w:ascii="Tahoma" w:hAnsi="Tahoma" w:cs="Tahoma"/>
        </w:rPr>
        <w:t>our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education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mission</w:t>
      </w:r>
      <w:proofErr w:type="spellEnd"/>
      <w:r w:rsidRPr="00D14A3D">
        <w:rPr>
          <w:rStyle w:val="Vurgu"/>
          <w:rFonts w:ascii="Tahoma" w:hAnsi="Tahoma" w:cs="Tahoma"/>
        </w:rPr>
        <w:t xml:space="preserve">, </w:t>
      </w:r>
      <w:proofErr w:type="spellStart"/>
      <w:r w:rsidRPr="00D14A3D">
        <w:rPr>
          <w:rStyle w:val="Vurgu"/>
          <w:rFonts w:ascii="Tahoma" w:hAnsi="Tahoma" w:cs="Tahoma"/>
        </w:rPr>
        <w:t>where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support</w:t>
      </w:r>
      <w:proofErr w:type="spellEnd"/>
      <w:r w:rsidRPr="00D14A3D">
        <w:rPr>
          <w:rStyle w:val="Vurgu"/>
          <w:rFonts w:ascii="Tahoma" w:hAnsi="Tahoma" w:cs="Tahoma"/>
        </w:rPr>
        <w:t xml:space="preserve"> an </w:t>
      </w:r>
      <w:proofErr w:type="spellStart"/>
      <w:r w:rsidRPr="00D14A3D">
        <w:rPr>
          <w:rStyle w:val="Vurgu"/>
          <w:rFonts w:ascii="Tahoma" w:hAnsi="Tahoma" w:cs="Tahoma"/>
        </w:rPr>
        <w:t>employment-based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education</w:t>
      </w:r>
      <w:proofErr w:type="spellEnd"/>
      <w:r w:rsidRPr="00D14A3D">
        <w:rPr>
          <w:rStyle w:val="Vurgu"/>
          <w:rFonts w:ascii="Tahoma" w:hAnsi="Tahoma" w:cs="Tahoma"/>
        </w:rPr>
        <w:t xml:space="preserve"> model and </w:t>
      </w:r>
      <w:proofErr w:type="spellStart"/>
      <w:r w:rsidRPr="00D14A3D">
        <w:rPr>
          <w:rStyle w:val="Vurgu"/>
          <w:rFonts w:ascii="Tahoma" w:hAnsi="Tahoma" w:cs="Tahoma"/>
        </w:rPr>
        <w:t>help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to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meet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need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for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well-trained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technical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personnel</w:t>
      </w:r>
      <w:proofErr w:type="spellEnd"/>
      <w:r w:rsidRPr="00D14A3D">
        <w:rPr>
          <w:rStyle w:val="Vurgu"/>
          <w:rFonts w:ascii="Tahoma" w:hAnsi="Tahoma" w:cs="Tahoma"/>
        </w:rPr>
        <w:t xml:space="preserve"> in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industry</w:t>
      </w:r>
      <w:proofErr w:type="spellEnd"/>
      <w:r w:rsidRPr="00D14A3D">
        <w:rPr>
          <w:rStyle w:val="Vurgu"/>
          <w:rFonts w:ascii="Tahoma" w:hAnsi="Tahoma" w:cs="Tahoma"/>
        </w:rPr>
        <w:t xml:space="preserve">.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PAGEV Küçükçekmece </w:t>
      </w:r>
      <w:proofErr w:type="spellStart"/>
      <w:r w:rsidRPr="00D14A3D">
        <w:rPr>
          <w:rStyle w:val="Vurgu"/>
          <w:rFonts w:ascii="Tahoma" w:hAnsi="Tahoma" w:cs="Tahoma"/>
        </w:rPr>
        <w:t>Vocational</w:t>
      </w:r>
      <w:proofErr w:type="spellEnd"/>
      <w:r w:rsidRPr="00D14A3D">
        <w:rPr>
          <w:rStyle w:val="Vurgu"/>
          <w:rFonts w:ascii="Tahoma" w:hAnsi="Tahoma" w:cs="Tahoma"/>
        </w:rPr>
        <w:t xml:space="preserve"> High School has a </w:t>
      </w:r>
      <w:proofErr w:type="spellStart"/>
      <w:r w:rsidRPr="00D14A3D">
        <w:rPr>
          <w:rStyle w:val="Vurgu"/>
          <w:rFonts w:ascii="Tahoma" w:hAnsi="Tahoma" w:cs="Tahoma"/>
        </w:rPr>
        <w:t>capacity</w:t>
      </w:r>
      <w:proofErr w:type="spellEnd"/>
      <w:r w:rsidRPr="00D14A3D">
        <w:rPr>
          <w:rStyle w:val="Vurgu"/>
          <w:rFonts w:ascii="Tahoma" w:hAnsi="Tahoma" w:cs="Tahoma"/>
        </w:rPr>
        <w:t xml:space="preserve"> of 1500 </w:t>
      </w:r>
      <w:proofErr w:type="spellStart"/>
      <w:r w:rsidRPr="00D14A3D">
        <w:rPr>
          <w:rStyle w:val="Vurgu"/>
          <w:rFonts w:ascii="Tahoma" w:hAnsi="Tahoma" w:cs="Tahoma"/>
        </w:rPr>
        <w:t>students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while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PAGEV Gebze </w:t>
      </w:r>
      <w:proofErr w:type="spellStart"/>
      <w:r w:rsidRPr="00D14A3D">
        <w:rPr>
          <w:rStyle w:val="Vurgu"/>
          <w:rFonts w:ascii="Tahoma" w:hAnsi="Tahoma" w:cs="Tahoma"/>
        </w:rPr>
        <w:t>Vocational</w:t>
      </w:r>
      <w:proofErr w:type="spellEnd"/>
      <w:r w:rsidRPr="00D14A3D">
        <w:rPr>
          <w:rStyle w:val="Vurgu"/>
          <w:rFonts w:ascii="Tahoma" w:hAnsi="Tahoma" w:cs="Tahoma"/>
        </w:rPr>
        <w:t xml:space="preserve"> High School has 500.</w:t>
      </w:r>
    </w:p>
    <w:p w:rsidR="00F40812" w:rsidRPr="00D14A3D" w:rsidRDefault="00D14A3D" w:rsidP="000924DC">
      <w:pPr>
        <w:pStyle w:val="NormalWeb"/>
        <w:jc w:val="both"/>
        <w:rPr>
          <w:rFonts w:ascii="Tahoma" w:hAnsi="Tahoma" w:cs="Tahoma"/>
        </w:rPr>
      </w:pPr>
      <w:proofErr w:type="spellStart"/>
      <w:r w:rsidRPr="00D14A3D">
        <w:rPr>
          <w:rStyle w:val="Vurgu"/>
          <w:rFonts w:ascii="Tahoma" w:hAnsi="Tahoma" w:cs="Tahoma"/>
        </w:rPr>
        <w:t>Our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subsidiary</w:t>
      </w:r>
      <w:proofErr w:type="spellEnd"/>
      <w:r w:rsidRPr="00D14A3D">
        <w:rPr>
          <w:rStyle w:val="Vurgu"/>
          <w:rFonts w:ascii="Tahoma" w:hAnsi="Tahoma" w:cs="Tahoma"/>
        </w:rPr>
        <w:t> </w:t>
      </w:r>
      <w:proofErr w:type="spellStart"/>
      <w:r w:rsidRPr="00D14A3D">
        <w:rPr>
          <w:rStyle w:val="Vurgu"/>
          <w:rFonts w:ascii="Tahoma" w:hAnsi="Tahoma" w:cs="Tahoma"/>
        </w:rPr>
        <w:t>organization</w:t>
      </w:r>
      <w:proofErr w:type="spellEnd"/>
      <w:r w:rsidRPr="00D14A3D">
        <w:rPr>
          <w:rStyle w:val="Vurgu"/>
          <w:rFonts w:ascii="Tahoma" w:hAnsi="Tahoma" w:cs="Tahoma"/>
        </w:rPr>
        <w:t xml:space="preserve"> PAGÇEV has </w:t>
      </w:r>
      <w:proofErr w:type="spellStart"/>
      <w:r w:rsidRPr="00D14A3D">
        <w:rPr>
          <w:rStyle w:val="Vurgu"/>
          <w:rFonts w:ascii="Tahoma" w:hAnsi="Tahoma" w:cs="Tahoma"/>
        </w:rPr>
        <w:t>been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supporting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recycling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industry</w:t>
      </w:r>
      <w:proofErr w:type="spellEnd"/>
      <w:r w:rsidRPr="00D14A3D">
        <w:rPr>
          <w:rStyle w:val="Vurgu"/>
          <w:rFonts w:ascii="Tahoma" w:hAnsi="Tahoma" w:cs="Tahoma"/>
        </w:rPr>
        <w:t xml:space="preserve"> since </w:t>
      </w:r>
      <w:proofErr w:type="spellStart"/>
      <w:r w:rsidRPr="00D14A3D">
        <w:rPr>
          <w:rStyle w:val="Vurgu"/>
          <w:rFonts w:ascii="Tahoma" w:hAnsi="Tahoma" w:cs="Tahoma"/>
        </w:rPr>
        <w:t>January</w:t>
      </w:r>
      <w:proofErr w:type="spellEnd"/>
      <w:r w:rsidRPr="00D14A3D">
        <w:rPr>
          <w:rStyle w:val="Vurgu"/>
          <w:rFonts w:ascii="Tahoma" w:hAnsi="Tahoma" w:cs="Tahoma"/>
        </w:rPr>
        <w:t xml:space="preserve"> 2014 </w:t>
      </w:r>
      <w:proofErr w:type="spellStart"/>
      <w:r w:rsidRPr="00D14A3D">
        <w:rPr>
          <w:rStyle w:val="Vurgu"/>
          <w:rFonts w:ascii="Tahoma" w:hAnsi="Tahoma" w:cs="Tahoma"/>
        </w:rPr>
        <w:t>to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fulfill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its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mission</w:t>
      </w:r>
      <w:proofErr w:type="spellEnd"/>
      <w:r w:rsidRPr="00D14A3D">
        <w:rPr>
          <w:rStyle w:val="Vurgu"/>
          <w:rFonts w:ascii="Tahoma" w:hAnsi="Tahoma" w:cs="Tahoma"/>
        </w:rPr>
        <w:t xml:space="preserve"> of "</w:t>
      </w:r>
      <w:proofErr w:type="spellStart"/>
      <w:r w:rsidRPr="00D14A3D">
        <w:rPr>
          <w:rStyle w:val="Vurgu"/>
          <w:rFonts w:ascii="Tahoma" w:hAnsi="Tahoma" w:cs="Tahoma"/>
        </w:rPr>
        <w:t>Responsible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industry</w:t>
      </w:r>
      <w:proofErr w:type="spellEnd"/>
      <w:r w:rsidRPr="00D14A3D">
        <w:rPr>
          <w:rStyle w:val="Vurgu"/>
          <w:rFonts w:ascii="Tahoma" w:hAnsi="Tahoma" w:cs="Tahoma"/>
        </w:rPr>
        <w:t>, problem-</w:t>
      </w:r>
      <w:proofErr w:type="spellStart"/>
      <w:r w:rsidRPr="00D14A3D">
        <w:rPr>
          <w:rStyle w:val="Vurgu"/>
          <w:rFonts w:ascii="Tahoma" w:hAnsi="Tahoma" w:cs="Tahoma"/>
        </w:rPr>
        <w:t>free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environment</w:t>
      </w:r>
      <w:proofErr w:type="spellEnd"/>
      <w:r w:rsidRPr="00D14A3D">
        <w:rPr>
          <w:rStyle w:val="Vurgu"/>
          <w:rFonts w:ascii="Tahoma" w:hAnsi="Tahoma" w:cs="Tahoma"/>
        </w:rPr>
        <w:t xml:space="preserve">." PAGÇEV,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Recycling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Economic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Entity</w:t>
      </w:r>
      <w:proofErr w:type="spellEnd"/>
      <w:r w:rsidRPr="00D14A3D">
        <w:rPr>
          <w:rStyle w:val="Vurgu"/>
          <w:rFonts w:ascii="Tahoma" w:hAnsi="Tahoma" w:cs="Tahoma"/>
        </w:rPr>
        <w:t xml:space="preserve"> of PAGEV, is an </w:t>
      </w:r>
      <w:proofErr w:type="spellStart"/>
      <w:r w:rsidRPr="00D14A3D">
        <w:rPr>
          <w:rStyle w:val="Vurgu"/>
          <w:rFonts w:ascii="Tahoma" w:hAnsi="Tahoma" w:cs="Tahoma"/>
        </w:rPr>
        <w:t>Authorized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Institution</w:t>
      </w:r>
      <w:proofErr w:type="spellEnd"/>
      <w:r w:rsidRPr="00D14A3D">
        <w:rPr>
          <w:rStyle w:val="Vurgu"/>
          <w:rFonts w:ascii="Tahoma" w:hAnsi="Tahoma" w:cs="Tahoma"/>
        </w:rPr>
        <w:t xml:space="preserve"> of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Ministry</w:t>
      </w:r>
      <w:proofErr w:type="spellEnd"/>
      <w:r w:rsidRPr="00D14A3D">
        <w:rPr>
          <w:rStyle w:val="Vurgu"/>
          <w:rFonts w:ascii="Tahoma" w:hAnsi="Tahoma" w:cs="Tahoma"/>
        </w:rPr>
        <w:t xml:space="preserve"> of Environment and Urban Planning </w:t>
      </w:r>
      <w:proofErr w:type="spellStart"/>
      <w:r w:rsidRPr="00D14A3D">
        <w:rPr>
          <w:rStyle w:val="Vurgu"/>
          <w:rFonts w:ascii="Tahoma" w:hAnsi="Tahoma" w:cs="Tahoma"/>
        </w:rPr>
        <w:t>for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segregation</w:t>
      </w:r>
      <w:proofErr w:type="spellEnd"/>
      <w:r w:rsidRPr="00D14A3D">
        <w:rPr>
          <w:rStyle w:val="Vurgu"/>
          <w:rFonts w:ascii="Tahoma" w:hAnsi="Tahoma" w:cs="Tahoma"/>
        </w:rPr>
        <w:t xml:space="preserve"> of </w:t>
      </w:r>
      <w:proofErr w:type="spellStart"/>
      <w:r w:rsidRPr="00D14A3D">
        <w:rPr>
          <w:rStyle w:val="Vurgu"/>
          <w:rFonts w:ascii="Tahoma" w:hAnsi="Tahoma" w:cs="Tahoma"/>
        </w:rPr>
        <w:t>packaging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wastes</w:t>
      </w:r>
      <w:proofErr w:type="spellEnd"/>
      <w:r w:rsidRPr="00D14A3D">
        <w:rPr>
          <w:rStyle w:val="Vurgu"/>
          <w:rFonts w:ascii="Tahoma" w:hAnsi="Tahoma" w:cs="Tahoma"/>
        </w:rPr>
        <w:t xml:space="preserve"> at </w:t>
      </w:r>
      <w:proofErr w:type="spellStart"/>
      <w:r w:rsidRPr="00D14A3D">
        <w:rPr>
          <w:rStyle w:val="Vurgu"/>
          <w:rFonts w:ascii="Tahoma" w:hAnsi="Tahoma" w:cs="Tahoma"/>
        </w:rPr>
        <w:t>source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to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improve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recycling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performance</w:t>
      </w:r>
      <w:proofErr w:type="spellEnd"/>
      <w:r w:rsidRPr="00D14A3D">
        <w:rPr>
          <w:rStyle w:val="Vurgu"/>
          <w:rFonts w:ascii="Tahoma" w:hAnsi="Tahoma" w:cs="Tahoma"/>
        </w:rPr>
        <w:t xml:space="preserve">. PAGÇEV </w:t>
      </w:r>
      <w:proofErr w:type="spellStart"/>
      <w:r w:rsidRPr="00D14A3D">
        <w:rPr>
          <w:rStyle w:val="Vurgu"/>
          <w:rFonts w:ascii="Tahoma" w:hAnsi="Tahoma" w:cs="Tahoma"/>
        </w:rPr>
        <w:t>undertakes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recycling</w:t>
      </w:r>
      <w:proofErr w:type="spellEnd"/>
      <w:r w:rsidRPr="00D14A3D">
        <w:rPr>
          <w:rStyle w:val="Vurgu"/>
          <w:rFonts w:ascii="Tahoma" w:hAnsi="Tahoma" w:cs="Tahoma"/>
        </w:rPr>
        <w:t xml:space="preserve"> and </w:t>
      </w:r>
      <w:proofErr w:type="spellStart"/>
      <w:r w:rsidRPr="00D14A3D">
        <w:rPr>
          <w:rStyle w:val="Vurgu"/>
          <w:rFonts w:ascii="Tahoma" w:hAnsi="Tahoma" w:cs="Tahoma"/>
        </w:rPr>
        <w:t>documentation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requirements</w:t>
      </w:r>
      <w:proofErr w:type="spellEnd"/>
      <w:r w:rsidRPr="00D14A3D">
        <w:rPr>
          <w:rStyle w:val="Vurgu"/>
          <w:rFonts w:ascii="Tahoma" w:hAnsi="Tahoma" w:cs="Tahoma"/>
        </w:rPr>
        <w:t xml:space="preserve"> of </w:t>
      </w:r>
      <w:proofErr w:type="spellStart"/>
      <w:r w:rsidRPr="00D14A3D">
        <w:rPr>
          <w:rStyle w:val="Vurgu"/>
          <w:rFonts w:ascii="Tahoma" w:hAnsi="Tahoma" w:cs="Tahoma"/>
        </w:rPr>
        <w:t>businesses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that</w:t>
      </w:r>
      <w:proofErr w:type="spellEnd"/>
      <w:r w:rsidRPr="00D14A3D">
        <w:rPr>
          <w:rStyle w:val="Vurgu"/>
          <w:rFonts w:ascii="Tahoma" w:hAnsi="Tahoma" w:cs="Tahoma"/>
        </w:rPr>
        <w:t xml:space="preserve"> market </w:t>
      </w:r>
      <w:proofErr w:type="spellStart"/>
      <w:r w:rsidRPr="00D14A3D">
        <w:rPr>
          <w:rStyle w:val="Vurgu"/>
          <w:rFonts w:ascii="Tahoma" w:hAnsi="Tahoma" w:cs="Tahoma"/>
        </w:rPr>
        <w:t>packaged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products</w:t>
      </w:r>
      <w:proofErr w:type="spellEnd"/>
      <w:r w:rsidRPr="00D14A3D">
        <w:rPr>
          <w:rStyle w:val="Vurgu"/>
          <w:rFonts w:ascii="Tahoma" w:hAnsi="Tahoma" w:cs="Tahoma"/>
        </w:rPr>
        <w:t xml:space="preserve"> in Turkey, and </w:t>
      </w:r>
      <w:proofErr w:type="spellStart"/>
      <w:r w:rsidRPr="00D14A3D">
        <w:rPr>
          <w:rStyle w:val="Vurgu"/>
          <w:rFonts w:ascii="Tahoma" w:hAnsi="Tahoma" w:cs="Tahoma"/>
        </w:rPr>
        <w:t>cooperates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with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municipal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facilities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to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enable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segregation</w:t>
      </w:r>
      <w:proofErr w:type="spellEnd"/>
      <w:r w:rsidRPr="00D14A3D">
        <w:rPr>
          <w:rStyle w:val="Vurgu"/>
          <w:rFonts w:ascii="Tahoma" w:hAnsi="Tahoma" w:cs="Tahoma"/>
        </w:rPr>
        <w:t xml:space="preserve"> and </w:t>
      </w:r>
      <w:proofErr w:type="spellStart"/>
      <w:r w:rsidRPr="00D14A3D">
        <w:rPr>
          <w:rStyle w:val="Vurgu"/>
          <w:rFonts w:ascii="Tahoma" w:hAnsi="Tahoma" w:cs="Tahoma"/>
        </w:rPr>
        <w:t>recycling</w:t>
      </w:r>
      <w:proofErr w:type="spellEnd"/>
      <w:r w:rsidRPr="00D14A3D">
        <w:rPr>
          <w:rStyle w:val="Vurgu"/>
          <w:rFonts w:ascii="Tahoma" w:hAnsi="Tahoma" w:cs="Tahoma"/>
        </w:rPr>
        <w:t xml:space="preserve"> of </w:t>
      </w:r>
      <w:proofErr w:type="spellStart"/>
      <w:r w:rsidRPr="00D14A3D">
        <w:rPr>
          <w:rStyle w:val="Vurgu"/>
          <w:rFonts w:ascii="Tahoma" w:hAnsi="Tahoma" w:cs="Tahoma"/>
        </w:rPr>
        <w:t>packaging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wastes</w:t>
      </w:r>
      <w:proofErr w:type="spellEnd"/>
      <w:r w:rsidRPr="00D14A3D">
        <w:rPr>
          <w:rStyle w:val="Vurgu"/>
          <w:rFonts w:ascii="Tahoma" w:hAnsi="Tahoma" w:cs="Tahoma"/>
        </w:rPr>
        <w:t xml:space="preserve"> at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source</w:t>
      </w:r>
      <w:proofErr w:type="spellEnd"/>
      <w:r w:rsidRPr="00D14A3D">
        <w:rPr>
          <w:rStyle w:val="Vurgu"/>
          <w:rFonts w:ascii="Tahoma" w:hAnsi="Tahoma" w:cs="Tahoma"/>
        </w:rPr>
        <w:t xml:space="preserve">. </w:t>
      </w:r>
      <w:proofErr w:type="spellStart"/>
      <w:r w:rsidRPr="00D14A3D">
        <w:rPr>
          <w:rStyle w:val="Vurgu"/>
          <w:rFonts w:ascii="Tahoma" w:hAnsi="Tahoma" w:cs="Tahoma"/>
        </w:rPr>
        <w:t>The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organization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also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conducts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education</w:t>
      </w:r>
      <w:proofErr w:type="spellEnd"/>
      <w:r w:rsidRPr="00D14A3D">
        <w:rPr>
          <w:rStyle w:val="Vurgu"/>
          <w:rFonts w:ascii="Tahoma" w:hAnsi="Tahoma" w:cs="Tahoma"/>
        </w:rPr>
        <w:t xml:space="preserve"> and </w:t>
      </w:r>
      <w:proofErr w:type="spellStart"/>
      <w:r w:rsidRPr="00D14A3D">
        <w:rPr>
          <w:rStyle w:val="Vurgu"/>
          <w:rFonts w:ascii="Tahoma" w:hAnsi="Tahoma" w:cs="Tahoma"/>
        </w:rPr>
        <w:t>awareness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campaigns</w:t>
      </w:r>
      <w:proofErr w:type="spellEnd"/>
      <w:r w:rsidRPr="00D14A3D">
        <w:rPr>
          <w:rStyle w:val="Vurgu"/>
          <w:rFonts w:ascii="Tahoma" w:hAnsi="Tahoma" w:cs="Tahoma"/>
        </w:rPr>
        <w:t xml:space="preserve"> on </w:t>
      </w:r>
      <w:proofErr w:type="spellStart"/>
      <w:r w:rsidRPr="00D14A3D">
        <w:rPr>
          <w:rStyle w:val="Vurgu"/>
          <w:rFonts w:ascii="Tahoma" w:hAnsi="Tahoma" w:cs="Tahoma"/>
        </w:rPr>
        <w:t>packaging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wastes</w:t>
      </w:r>
      <w:proofErr w:type="spellEnd"/>
      <w:r w:rsidRPr="00D14A3D">
        <w:rPr>
          <w:rStyle w:val="Vurgu"/>
          <w:rFonts w:ascii="Tahoma" w:hAnsi="Tahoma" w:cs="Tahoma"/>
        </w:rPr>
        <w:t xml:space="preserve"> and </w:t>
      </w:r>
      <w:proofErr w:type="spellStart"/>
      <w:r w:rsidRPr="00D14A3D">
        <w:rPr>
          <w:rStyle w:val="Vurgu"/>
          <w:rFonts w:ascii="Tahoma" w:hAnsi="Tahoma" w:cs="Tahoma"/>
        </w:rPr>
        <w:t>recycling</w:t>
      </w:r>
      <w:proofErr w:type="spellEnd"/>
      <w:r w:rsidRPr="00D14A3D">
        <w:rPr>
          <w:rStyle w:val="Vurgu"/>
          <w:rFonts w:ascii="Tahoma" w:hAnsi="Tahoma" w:cs="Tahoma"/>
        </w:rPr>
        <w:t xml:space="preserve">, </w:t>
      </w:r>
      <w:proofErr w:type="spellStart"/>
      <w:r w:rsidRPr="00D14A3D">
        <w:rPr>
          <w:rStyle w:val="Vurgu"/>
          <w:rFonts w:ascii="Tahoma" w:hAnsi="Tahoma" w:cs="Tahoma"/>
        </w:rPr>
        <w:t>encourages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recycling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activities</w:t>
      </w:r>
      <w:proofErr w:type="spellEnd"/>
      <w:r w:rsidRPr="00D14A3D">
        <w:rPr>
          <w:rStyle w:val="Vurgu"/>
          <w:rFonts w:ascii="Tahoma" w:hAnsi="Tahoma" w:cs="Tahoma"/>
        </w:rPr>
        <w:t xml:space="preserve">, and </w:t>
      </w:r>
      <w:proofErr w:type="spellStart"/>
      <w:r w:rsidRPr="00D14A3D">
        <w:rPr>
          <w:rStyle w:val="Vurgu"/>
          <w:rFonts w:ascii="Tahoma" w:hAnsi="Tahoma" w:cs="Tahoma"/>
        </w:rPr>
        <w:t>prepares</w:t>
      </w:r>
      <w:proofErr w:type="spellEnd"/>
      <w:r w:rsidRPr="00D14A3D">
        <w:rPr>
          <w:rStyle w:val="Vurgu"/>
          <w:rFonts w:ascii="Tahoma" w:hAnsi="Tahoma" w:cs="Tahoma"/>
        </w:rPr>
        <w:t xml:space="preserve"> </w:t>
      </w:r>
      <w:proofErr w:type="spellStart"/>
      <w:r w:rsidRPr="00D14A3D">
        <w:rPr>
          <w:rStyle w:val="Vurgu"/>
          <w:rFonts w:ascii="Tahoma" w:hAnsi="Tahoma" w:cs="Tahoma"/>
        </w:rPr>
        <w:t>public</w:t>
      </w:r>
      <w:proofErr w:type="spellEnd"/>
      <w:r w:rsidRPr="00D14A3D">
        <w:rPr>
          <w:rStyle w:val="Vurgu"/>
          <w:rFonts w:ascii="Tahoma" w:hAnsi="Tahoma" w:cs="Tahoma"/>
        </w:rPr>
        <w:t xml:space="preserve"> service </w:t>
      </w:r>
      <w:proofErr w:type="spellStart"/>
      <w:r w:rsidRPr="00D14A3D">
        <w:rPr>
          <w:rStyle w:val="Vurgu"/>
          <w:rFonts w:ascii="Tahoma" w:hAnsi="Tahoma" w:cs="Tahoma"/>
        </w:rPr>
        <w:t>announcements</w:t>
      </w:r>
      <w:proofErr w:type="spellEnd"/>
      <w:r w:rsidRPr="00D14A3D">
        <w:rPr>
          <w:rStyle w:val="Vurgu"/>
          <w:rFonts w:ascii="Tahoma" w:hAnsi="Tahoma" w:cs="Tahoma"/>
        </w:rPr>
        <w:t>.</w:t>
      </w:r>
    </w:p>
    <w:sectPr w:rsidR="00F40812" w:rsidRPr="00D14A3D" w:rsidSect="001304F3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C2" w:rsidRDefault="002C0CC2" w:rsidP="00C55F30">
      <w:pPr>
        <w:spacing w:after="0" w:line="240" w:lineRule="auto"/>
      </w:pPr>
      <w:r>
        <w:separator/>
      </w:r>
    </w:p>
  </w:endnote>
  <w:endnote w:type="continuationSeparator" w:id="0">
    <w:p w:rsidR="002C0CC2" w:rsidRDefault="002C0CC2" w:rsidP="00C5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30" w:rsidRDefault="00C55F30">
    <w:pPr>
      <w:pStyle w:val="AltBilgi"/>
    </w:pPr>
    <w:r>
      <w:rPr>
        <w:noProof/>
      </w:rPr>
      <w:drawing>
        <wp:inline distT="0" distB="0" distL="0" distR="0">
          <wp:extent cx="1962150" cy="4476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C2" w:rsidRDefault="002C0CC2" w:rsidP="00C55F30">
      <w:pPr>
        <w:spacing w:after="0" w:line="240" w:lineRule="auto"/>
      </w:pPr>
      <w:r>
        <w:separator/>
      </w:r>
    </w:p>
  </w:footnote>
  <w:footnote w:type="continuationSeparator" w:id="0">
    <w:p w:rsidR="002C0CC2" w:rsidRDefault="002C0CC2" w:rsidP="00C5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30" w:rsidRDefault="00C55F30" w:rsidP="00C55F30">
    <w:pPr>
      <w:pStyle w:val="stBilgi"/>
      <w:jc w:val="center"/>
    </w:pPr>
    <w:r>
      <w:rPr>
        <w:noProof/>
      </w:rPr>
      <w:drawing>
        <wp:inline distT="0" distB="0" distL="0" distR="0">
          <wp:extent cx="742950" cy="103500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10" cy="104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7092"/>
    <w:multiLevelType w:val="multilevel"/>
    <w:tmpl w:val="B13E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30"/>
    <w:rsid w:val="000003C3"/>
    <w:rsid w:val="000924DC"/>
    <w:rsid w:val="000E1CBE"/>
    <w:rsid w:val="000E53BB"/>
    <w:rsid w:val="000F2BCE"/>
    <w:rsid w:val="001304F3"/>
    <w:rsid w:val="00204C63"/>
    <w:rsid w:val="002111EE"/>
    <w:rsid w:val="00214F3D"/>
    <w:rsid w:val="0021582F"/>
    <w:rsid w:val="002219C8"/>
    <w:rsid w:val="00236FA2"/>
    <w:rsid w:val="002405D8"/>
    <w:rsid w:val="00253E17"/>
    <w:rsid w:val="00253FAE"/>
    <w:rsid w:val="00285284"/>
    <w:rsid w:val="002C0CC2"/>
    <w:rsid w:val="002E0A73"/>
    <w:rsid w:val="00333669"/>
    <w:rsid w:val="0037329E"/>
    <w:rsid w:val="0053229E"/>
    <w:rsid w:val="00572159"/>
    <w:rsid w:val="005C3B07"/>
    <w:rsid w:val="005D2FF7"/>
    <w:rsid w:val="00631012"/>
    <w:rsid w:val="006421EA"/>
    <w:rsid w:val="0064346E"/>
    <w:rsid w:val="00696718"/>
    <w:rsid w:val="00697E72"/>
    <w:rsid w:val="006B094A"/>
    <w:rsid w:val="006C6947"/>
    <w:rsid w:val="006D57AD"/>
    <w:rsid w:val="0070765E"/>
    <w:rsid w:val="00750CB3"/>
    <w:rsid w:val="00771FF4"/>
    <w:rsid w:val="007721D2"/>
    <w:rsid w:val="00794E21"/>
    <w:rsid w:val="007A76D1"/>
    <w:rsid w:val="007D3F8C"/>
    <w:rsid w:val="00841B28"/>
    <w:rsid w:val="008803A2"/>
    <w:rsid w:val="00887F3B"/>
    <w:rsid w:val="008B42B2"/>
    <w:rsid w:val="008B4CF1"/>
    <w:rsid w:val="008B69F4"/>
    <w:rsid w:val="00927E7A"/>
    <w:rsid w:val="009471BE"/>
    <w:rsid w:val="00957282"/>
    <w:rsid w:val="00982177"/>
    <w:rsid w:val="00992ECC"/>
    <w:rsid w:val="009B5D7B"/>
    <w:rsid w:val="009D6627"/>
    <w:rsid w:val="00A4345A"/>
    <w:rsid w:val="00A47272"/>
    <w:rsid w:val="00A67211"/>
    <w:rsid w:val="00A73FA6"/>
    <w:rsid w:val="00AA031B"/>
    <w:rsid w:val="00AB31F4"/>
    <w:rsid w:val="00AC1E13"/>
    <w:rsid w:val="00AE2F13"/>
    <w:rsid w:val="00B43ADC"/>
    <w:rsid w:val="00B461DA"/>
    <w:rsid w:val="00B92CC6"/>
    <w:rsid w:val="00BA4E63"/>
    <w:rsid w:val="00C2176C"/>
    <w:rsid w:val="00C373B3"/>
    <w:rsid w:val="00C55D5D"/>
    <w:rsid w:val="00C55F30"/>
    <w:rsid w:val="00C611AF"/>
    <w:rsid w:val="00C77FC2"/>
    <w:rsid w:val="00CA29C6"/>
    <w:rsid w:val="00CD39F3"/>
    <w:rsid w:val="00CF54DC"/>
    <w:rsid w:val="00CF798D"/>
    <w:rsid w:val="00D0359F"/>
    <w:rsid w:val="00D05AFD"/>
    <w:rsid w:val="00D06648"/>
    <w:rsid w:val="00D14A3D"/>
    <w:rsid w:val="00D16030"/>
    <w:rsid w:val="00D471AF"/>
    <w:rsid w:val="00D94A01"/>
    <w:rsid w:val="00DA50C7"/>
    <w:rsid w:val="00DA74AA"/>
    <w:rsid w:val="00E069DB"/>
    <w:rsid w:val="00E52E82"/>
    <w:rsid w:val="00E6755F"/>
    <w:rsid w:val="00E948BF"/>
    <w:rsid w:val="00E967DF"/>
    <w:rsid w:val="00EA6708"/>
    <w:rsid w:val="00EC1C84"/>
    <w:rsid w:val="00F32654"/>
    <w:rsid w:val="00F40812"/>
    <w:rsid w:val="00F50C68"/>
    <w:rsid w:val="00F52999"/>
    <w:rsid w:val="00F52DF0"/>
    <w:rsid w:val="00F644EF"/>
    <w:rsid w:val="00F668D7"/>
    <w:rsid w:val="00F972A8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0A880"/>
  <w15:docId w15:val="{D6FA5EDA-00C2-48A3-91D5-0BC9189A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60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160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0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5F30"/>
  </w:style>
  <w:style w:type="paragraph" w:styleId="AltBilgi">
    <w:name w:val="footer"/>
    <w:basedOn w:val="Normal"/>
    <w:link w:val="AltBilgiChar"/>
    <w:uiPriority w:val="99"/>
    <w:unhideWhenUsed/>
    <w:rsid w:val="00C5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5F30"/>
  </w:style>
  <w:style w:type="character" w:styleId="Vurgu">
    <w:name w:val="Emphasis"/>
    <w:basedOn w:val="VarsaylanParagrafYazTipi"/>
    <w:uiPriority w:val="20"/>
    <w:qFormat/>
    <w:rsid w:val="00D14A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ur.caca@pagev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4495C-5834-4039-8624-533FAE1C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Sıla Okur</dc:creator>
  <cp:lastModifiedBy>Ertan</cp:lastModifiedBy>
  <cp:revision>4</cp:revision>
  <dcterms:created xsi:type="dcterms:W3CDTF">2021-05-03T11:29:00Z</dcterms:created>
  <dcterms:modified xsi:type="dcterms:W3CDTF">2021-05-03T12:22:00Z</dcterms:modified>
</cp:coreProperties>
</file>